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31" w:rsidRPr="003859ED" w:rsidRDefault="00C56705" w:rsidP="00F11B99">
      <w:pPr>
        <w:spacing w:after="0" w:line="240" w:lineRule="auto"/>
        <w:ind w:left="-15" w:firstLine="115"/>
        <w:jc w:val="center"/>
        <w:rPr>
          <w:rFonts w:ascii="Times" w:eastAsia="標楷體" w:hAnsi="Times"/>
          <w:b/>
          <w:sz w:val="28"/>
          <w:szCs w:val="28"/>
        </w:rPr>
      </w:pPr>
      <w:r w:rsidRPr="003859ED">
        <w:rPr>
          <w:rFonts w:ascii="Times" w:eastAsia="標楷體" w:hAnsi="Times"/>
          <w:b/>
          <w:sz w:val="28"/>
          <w:szCs w:val="28"/>
        </w:rPr>
        <w:t>台新國際商業銀行</w:t>
      </w:r>
      <w:r w:rsidR="00AB44AB" w:rsidRPr="003859ED">
        <w:rPr>
          <w:rFonts w:ascii="Times" w:eastAsia="標楷體" w:hAnsi="Times"/>
          <w:b/>
          <w:sz w:val="28"/>
          <w:szCs w:val="28"/>
        </w:rPr>
        <w:t>股份有限公司</w:t>
      </w:r>
      <w:r w:rsidR="00566E34" w:rsidRPr="003859ED">
        <w:rPr>
          <w:rFonts w:ascii="Times" w:eastAsia="標楷體" w:hAnsi="Times"/>
          <w:b/>
          <w:sz w:val="28"/>
          <w:szCs w:val="28"/>
        </w:rPr>
        <w:t>等</w:t>
      </w:r>
      <w:r w:rsidRPr="003859ED">
        <w:rPr>
          <w:rFonts w:ascii="Times" w:eastAsia="標楷體" w:hAnsi="Times"/>
          <w:b/>
          <w:sz w:val="28"/>
          <w:szCs w:val="28"/>
        </w:rPr>
        <w:t>承</w:t>
      </w:r>
      <w:r w:rsidR="00AB44AB" w:rsidRPr="003859ED">
        <w:rPr>
          <w:rFonts w:ascii="Times" w:eastAsia="標楷體" w:hAnsi="Times"/>
          <w:b/>
          <w:sz w:val="28"/>
          <w:szCs w:val="28"/>
        </w:rPr>
        <w:t>銷</w:t>
      </w:r>
      <w:r w:rsidRPr="003859ED">
        <w:rPr>
          <w:rFonts w:ascii="Times" w:eastAsia="標楷體" w:hAnsi="Times"/>
          <w:b/>
          <w:sz w:val="28"/>
          <w:szCs w:val="28"/>
        </w:rPr>
        <w:t>「</w:t>
      </w:r>
      <w:r w:rsidR="003B064D" w:rsidRPr="003B064D">
        <w:rPr>
          <w:rFonts w:ascii="Times New Roman" w:eastAsia="標楷體" w:hAnsi="Times New Roman" w:cs="Times New Roman"/>
          <w:b/>
          <w:sz w:val="28"/>
          <w:szCs w:val="28"/>
        </w:rPr>
        <w:t>Natixis 10-Year USD 22,000,000 Fixed Coupon Callable Senior Preferred Notes due 2033</w:t>
      </w:r>
      <w:r w:rsidRPr="003859ED">
        <w:rPr>
          <w:rFonts w:ascii="Times" w:eastAsia="標楷體" w:hAnsi="Times"/>
          <w:b/>
          <w:sz w:val="28"/>
          <w:szCs w:val="28"/>
        </w:rPr>
        <w:t>」之美金計價普通公司債</w:t>
      </w:r>
      <w:r w:rsidR="00AB44AB" w:rsidRPr="003859ED">
        <w:rPr>
          <w:rFonts w:ascii="Times" w:eastAsia="標楷體" w:hAnsi="Times"/>
          <w:b/>
          <w:sz w:val="28"/>
          <w:szCs w:val="28"/>
        </w:rPr>
        <w:t>公告</w:t>
      </w:r>
    </w:p>
    <w:p w:rsidR="00BB1D8E" w:rsidRPr="009F2DAB" w:rsidRDefault="00C56705" w:rsidP="00F11B99">
      <w:pPr>
        <w:spacing w:after="0" w:line="240" w:lineRule="auto"/>
        <w:ind w:left="-15" w:firstLine="0"/>
        <w:jc w:val="both"/>
        <w:rPr>
          <w:rFonts w:ascii="Times" w:eastAsia="標楷體" w:hAnsi="Times"/>
          <w:sz w:val="22"/>
        </w:rPr>
      </w:pPr>
      <w:r w:rsidRPr="009F2DAB">
        <w:rPr>
          <w:rFonts w:ascii="Times" w:eastAsia="標楷體" w:hAnsi="Times"/>
          <w:sz w:val="22"/>
        </w:rPr>
        <w:t>台新國際商業銀行</w:t>
      </w:r>
      <w:r w:rsidR="00AB44AB" w:rsidRPr="009F2DAB">
        <w:rPr>
          <w:rFonts w:ascii="Times" w:eastAsia="標楷體" w:hAnsi="Times"/>
          <w:sz w:val="22"/>
        </w:rPr>
        <w:t>股份有限公司</w:t>
      </w:r>
      <w:r w:rsidR="00566E34" w:rsidRPr="009F2DAB">
        <w:rPr>
          <w:rFonts w:ascii="Times" w:eastAsia="標楷體" w:hAnsi="Times"/>
          <w:sz w:val="22"/>
        </w:rPr>
        <w:t>等承銷商</w:t>
      </w:r>
      <w:r w:rsidR="00AB44AB" w:rsidRPr="009F2DAB">
        <w:rPr>
          <w:rFonts w:ascii="Times" w:eastAsia="標楷體" w:hAnsi="Times" w:cs="Arial"/>
          <w:sz w:val="22"/>
        </w:rPr>
        <w:t>(</w:t>
      </w:r>
      <w:r w:rsidR="00AB44AB" w:rsidRPr="009F2DAB">
        <w:rPr>
          <w:rFonts w:ascii="Times" w:eastAsia="標楷體" w:hAnsi="Times"/>
          <w:sz w:val="22"/>
        </w:rPr>
        <w:t>以下稱「承銷商」</w:t>
      </w:r>
      <w:r w:rsidR="00AB44AB" w:rsidRPr="009F2DAB">
        <w:rPr>
          <w:rFonts w:ascii="Times" w:eastAsia="標楷體" w:hAnsi="Times" w:cs="Arial"/>
          <w:sz w:val="22"/>
        </w:rPr>
        <w:t>)</w:t>
      </w:r>
      <w:r w:rsidRPr="009F2DAB">
        <w:rPr>
          <w:rFonts w:ascii="Times" w:eastAsia="標楷體" w:hAnsi="Times"/>
          <w:sz w:val="22"/>
        </w:rPr>
        <w:t>承</w:t>
      </w:r>
      <w:r w:rsidR="00AB44AB" w:rsidRPr="009F2DAB">
        <w:rPr>
          <w:rFonts w:ascii="Times" w:eastAsia="標楷體" w:hAnsi="Times"/>
          <w:sz w:val="22"/>
        </w:rPr>
        <w:t>銷「</w:t>
      </w:r>
      <w:r w:rsidR="003B064D" w:rsidRPr="003B064D">
        <w:rPr>
          <w:rFonts w:ascii="Times" w:eastAsia="標楷體" w:hAnsi="Times"/>
          <w:sz w:val="22"/>
        </w:rPr>
        <w:t>Natixis 10-Year USD 22,000,000 Fixed Coupon Callable Senior Preferred Notes due 2033</w:t>
      </w:r>
      <w:r w:rsidR="00AB44AB" w:rsidRPr="009F2DAB">
        <w:rPr>
          <w:rFonts w:ascii="Times" w:eastAsia="標楷體" w:hAnsi="Times"/>
          <w:sz w:val="22"/>
        </w:rPr>
        <w:t>」</w:t>
      </w:r>
      <w:r w:rsidR="00AB44AB" w:rsidRPr="009F2DAB">
        <w:rPr>
          <w:rFonts w:ascii="Times" w:eastAsia="標楷體" w:hAnsi="Times" w:cs="Arial"/>
          <w:sz w:val="22"/>
        </w:rPr>
        <w:t>(</w:t>
      </w:r>
      <w:r w:rsidR="00AB44AB" w:rsidRPr="009F2DAB">
        <w:rPr>
          <w:rFonts w:ascii="Times" w:eastAsia="標楷體" w:hAnsi="Times"/>
          <w:sz w:val="22"/>
        </w:rPr>
        <w:t>以下稱「本債</w:t>
      </w:r>
      <w:r w:rsidR="00247A03" w:rsidRPr="009F2DAB">
        <w:rPr>
          <w:rFonts w:ascii="Times" w:eastAsia="標楷體" w:hAnsi="Times"/>
          <w:sz w:val="22"/>
        </w:rPr>
        <w:t>券</w:t>
      </w:r>
      <w:r w:rsidR="00AB44AB" w:rsidRPr="009F2DAB">
        <w:rPr>
          <w:rFonts w:ascii="Times" w:eastAsia="標楷體" w:hAnsi="Times"/>
          <w:sz w:val="22"/>
        </w:rPr>
        <w:t>」</w:t>
      </w:r>
      <w:r w:rsidR="00AB44AB" w:rsidRPr="009F2DAB">
        <w:rPr>
          <w:rFonts w:ascii="Times" w:eastAsia="標楷體" w:hAnsi="Times" w:cs="Arial"/>
          <w:sz w:val="22"/>
        </w:rPr>
        <w:t>)</w:t>
      </w:r>
      <w:r w:rsidR="00AB44AB" w:rsidRPr="009F2DAB">
        <w:rPr>
          <w:rFonts w:ascii="Times" w:eastAsia="標楷體" w:hAnsi="Times"/>
          <w:sz w:val="22"/>
        </w:rPr>
        <w:t>，本債</w:t>
      </w:r>
      <w:r w:rsidR="00247A03" w:rsidRPr="009F2DAB">
        <w:rPr>
          <w:rFonts w:ascii="Times" w:eastAsia="標楷體" w:hAnsi="Times"/>
          <w:sz w:val="22"/>
        </w:rPr>
        <w:t>券</w:t>
      </w:r>
      <w:r w:rsidR="00AB44AB" w:rsidRPr="009F2DAB">
        <w:rPr>
          <w:rFonts w:ascii="Times" w:eastAsia="標楷體" w:hAnsi="Times"/>
          <w:sz w:val="22"/>
        </w:rPr>
        <w:t>發行總金額為</w:t>
      </w:r>
      <w:r w:rsidR="003B064D" w:rsidRPr="009F2DAB">
        <w:rPr>
          <w:rFonts w:ascii="Times" w:eastAsia="標楷體" w:hAnsi="Times"/>
          <w:sz w:val="22"/>
        </w:rPr>
        <w:t>美金</w:t>
      </w:r>
      <w:r w:rsidR="003B064D">
        <w:rPr>
          <w:rFonts w:ascii="Times" w:eastAsia="標楷體" w:hAnsi="Times" w:hint="eastAsia"/>
          <w:sz w:val="22"/>
        </w:rPr>
        <w:t>貳仟貳佰萬</w:t>
      </w:r>
      <w:r w:rsidR="003B064D" w:rsidRPr="009F2DAB">
        <w:rPr>
          <w:rFonts w:ascii="Times" w:eastAsia="標楷體" w:hAnsi="Times"/>
          <w:sz w:val="22"/>
          <w:lang w:eastAsia="zh-HK"/>
        </w:rPr>
        <w:t>元</w:t>
      </w:r>
      <w:r w:rsidR="00781C6E" w:rsidRPr="009F2DAB">
        <w:rPr>
          <w:rFonts w:ascii="Times" w:eastAsia="標楷體" w:hAnsi="Times"/>
          <w:sz w:val="22"/>
          <w:lang w:eastAsia="zh-HK"/>
        </w:rPr>
        <w:t>整</w:t>
      </w:r>
      <w:r w:rsidR="00247A03" w:rsidRPr="009F2DAB">
        <w:rPr>
          <w:rFonts w:ascii="Times" w:eastAsia="標楷體" w:hAnsi="Times"/>
          <w:sz w:val="22"/>
        </w:rPr>
        <w:t>，由承銷商洽商銷售本</w:t>
      </w:r>
      <w:r w:rsidR="00AB44AB" w:rsidRPr="009F2DAB">
        <w:rPr>
          <w:rFonts w:ascii="Times" w:eastAsia="標楷體" w:hAnsi="Times"/>
          <w:sz w:val="22"/>
        </w:rPr>
        <w:t>債</w:t>
      </w:r>
      <w:r w:rsidR="00247A03" w:rsidRPr="009F2DAB">
        <w:rPr>
          <w:rFonts w:ascii="Times" w:eastAsia="標楷體" w:hAnsi="Times"/>
          <w:sz w:val="22"/>
        </w:rPr>
        <w:t>券</w:t>
      </w:r>
      <w:r w:rsidR="00AB44AB" w:rsidRPr="009F2DAB">
        <w:rPr>
          <w:rFonts w:ascii="Times" w:eastAsia="標楷體" w:hAnsi="Times"/>
          <w:sz w:val="22"/>
        </w:rPr>
        <w:t>金額為</w:t>
      </w:r>
      <w:r w:rsidRPr="009F2DAB">
        <w:rPr>
          <w:rFonts w:ascii="Times" w:eastAsia="標楷體" w:hAnsi="Times"/>
          <w:sz w:val="22"/>
        </w:rPr>
        <w:t>美金</w:t>
      </w:r>
      <w:r w:rsidR="003B064D">
        <w:rPr>
          <w:rFonts w:ascii="Times" w:eastAsia="標楷體" w:hAnsi="Times" w:hint="eastAsia"/>
          <w:sz w:val="22"/>
        </w:rPr>
        <w:t>貳仟貳佰萬</w:t>
      </w:r>
      <w:r w:rsidRPr="009F2DAB">
        <w:rPr>
          <w:rFonts w:ascii="Times" w:eastAsia="標楷體" w:hAnsi="Times"/>
          <w:sz w:val="22"/>
          <w:lang w:eastAsia="zh-HK"/>
        </w:rPr>
        <w:t>元</w:t>
      </w:r>
      <w:r w:rsidRPr="009F2DAB">
        <w:rPr>
          <w:rFonts w:ascii="Times" w:eastAsia="標楷體" w:hAnsi="Times"/>
          <w:sz w:val="22"/>
        </w:rPr>
        <w:t>整</w:t>
      </w:r>
      <w:r w:rsidR="00AB44AB" w:rsidRPr="009F2DAB">
        <w:rPr>
          <w:rFonts w:ascii="Times" w:eastAsia="標楷體" w:hAnsi="Times"/>
          <w:sz w:val="22"/>
        </w:rPr>
        <w:t>，</w:t>
      </w:r>
      <w:r w:rsidR="00C31112" w:rsidRPr="009F2DAB">
        <w:rPr>
          <w:rFonts w:ascii="Times" w:eastAsia="標楷體" w:hAnsi="Times"/>
          <w:sz w:val="22"/>
        </w:rPr>
        <w:t>茲將銷售辦法公告於後</w:t>
      </w:r>
      <w:r w:rsidR="00AB44AB" w:rsidRPr="009F2DAB">
        <w:rPr>
          <w:rFonts w:ascii="Times" w:eastAsia="標楷體" w:hAnsi="Times"/>
          <w:sz w:val="22"/>
        </w:rPr>
        <w:t>：</w:t>
      </w:r>
    </w:p>
    <w:tbl>
      <w:tblPr>
        <w:tblpPr w:leftFromText="180" w:rightFromText="180" w:vertAnchor="text" w:horzAnchor="margin" w:tblpY="355"/>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4110"/>
        <w:gridCol w:w="2552"/>
      </w:tblGrid>
      <w:tr w:rsidR="009F2DAB" w:rsidRPr="003859ED" w:rsidTr="009F2DAB">
        <w:trPr>
          <w:trHeight w:val="475"/>
        </w:trPr>
        <w:tc>
          <w:tcPr>
            <w:tcW w:w="3823" w:type="dxa"/>
            <w:noWrap/>
            <w:vAlign w:val="center"/>
          </w:tcPr>
          <w:p w:rsidR="009F2DAB" w:rsidRPr="003859ED" w:rsidRDefault="009F2DAB" w:rsidP="00F11B99">
            <w:pPr>
              <w:spacing w:after="0" w:line="240" w:lineRule="auto"/>
              <w:ind w:left="0" w:firstLine="0"/>
              <w:jc w:val="center"/>
              <w:rPr>
                <w:rFonts w:ascii="Times" w:eastAsia="標楷體" w:hAnsi="Times" w:cs="Arial"/>
                <w:color w:val="auto"/>
                <w:kern w:val="0"/>
                <w:szCs w:val="24"/>
              </w:rPr>
            </w:pPr>
            <w:r w:rsidRPr="003859ED">
              <w:rPr>
                <w:rFonts w:ascii="Times" w:eastAsia="標楷體" w:hAnsi="Times" w:cs="Arial"/>
                <w:color w:val="auto"/>
                <w:kern w:val="0"/>
                <w:szCs w:val="24"/>
              </w:rPr>
              <w:t>承銷商名稱</w:t>
            </w:r>
          </w:p>
        </w:tc>
        <w:tc>
          <w:tcPr>
            <w:tcW w:w="4110" w:type="dxa"/>
            <w:vAlign w:val="center"/>
          </w:tcPr>
          <w:p w:rsidR="009F2DAB" w:rsidRPr="003859ED" w:rsidRDefault="009F2DAB" w:rsidP="00F11B99">
            <w:pPr>
              <w:spacing w:after="0" w:line="240" w:lineRule="auto"/>
              <w:ind w:left="0" w:firstLine="0"/>
              <w:jc w:val="center"/>
              <w:rPr>
                <w:rFonts w:ascii="Times" w:eastAsia="標楷體" w:hAnsi="Times" w:cs="Arial"/>
                <w:color w:val="auto"/>
                <w:kern w:val="0"/>
                <w:szCs w:val="24"/>
              </w:rPr>
            </w:pPr>
            <w:r w:rsidRPr="003859ED">
              <w:rPr>
                <w:rFonts w:ascii="Times" w:eastAsia="標楷體" w:hAnsi="Times" w:cs="Arial"/>
                <w:color w:val="auto"/>
                <w:kern w:val="0"/>
                <w:szCs w:val="24"/>
              </w:rPr>
              <w:t>地址</w:t>
            </w:r>
          </w:p>
        </w:tc>
        <w:tc>
          <w:tcPr>
            <w:tcW w:w="2552" w:type="dxa"/>
            <w:tcBorders>
              <w:right w:val="single" w:sz="4" w:space="0" w:color="auto"/>
            </w:tcBorders>
            <w:vAlign w:val="center"/>
          </w:tcPr>
          <w:p w:rsidR="009F2DAB" w:rsidRPr="003859ED" w:rsidRDefault="009F2DAB" w:rsidP="00F11B99">
            <w:pPr>
              <w:spacing w:after="0" w:line="240" w:lineRule="auto"/>
              <w:ind w:left="0" w:firstLine="0"/>
              <w:jc w:val="center"/>
              <w:rPr>
                <w:rFonts w:ascii="Times" w:eastAsia="標楷體" w:hAnsi="Times" w:cs="Arial"/>
                <w:color w:val="auto"/>
                <w:kern w:val="0"/>
                <w:szCs w:val="24"/>
              </w:rPr>
            </w:pPr>
            <w:r w:rsidRPr="009F2DAB">
              <w:rPr>
                <w:rFonts w:ascii="Times" w:eastAsia="標楷體" w:hAnsi="Times" w:cs="Arial"/>
                <w:color w:val="auto"/>
                <w:kern w:val="0"/>
                <w:szCs w:val="24"/>
              </w:rPr>
              <w:t>總承銷</w:t>
            </w:r>
            <w:r w:rsidRPr="009F2DAB">
              <w:rPr>
                <w:rFonts w:ascii="Times" w:eastAsia="標楷體" w:hAnsi="Times" w:cs="Arial"/>
                <w:color w:val="auto"/>
                <w:kern w:val="0"/>
                <w:szCs w:val="24"/>
              </w:rPr>
              <w:t>/</w:t>
            </w:r>
            <w:r w:rsidRPr="009F2DAB">
              <w:rPr>
                <w:rFonts w:ascii="Times" w:eastAsia="標楷體" w:hAnsi="Times" w:cs="Arial"/>
                <w:color w:val="auto"/>
                <w:kern w:val="0"/>
                <w:szCs w:val="24"/>
              </w:rPr>
              <w:t>洽商銷售金額</w:t>
            </w:r>
          </w:p>
        </w:tc>
      </w:tr>
      <w:tr w:rsidR="009F2DAB" w:rsidRPr="003859ED" w:rsidTr="009F2DAB">
        <w:trPr>
          <w:trHeight w:val="32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DAB" w:rsidRPr="003859ED" w:rsidRDefault="009F2DAB" w:rsidP="00F11B99">
            <w:pPr>
              <w:spacing w:after="0" w:line="240" w:lineRule="auto"/>
              <w:ind w:left="0" w:firstLine="0"/>
              <w:jc w:val="both"/>
              <w:rPr>
                <w:rFonts w:ascii="Times" w:eastAsia="標楷體" w:hAnsi="Times" w:cs="新細明體"/>
                <w:color w:val="auto"/>
                <w:szCs w:val="24"/>
              </w:rPr>
            </w:pPr>
            <w:r w:rsidRPr="003859ED">
              <w:rPr>
                <w:rFonts w:ascii="Times" w:eastAsia="標楷體" w:hAnsi="Times"/>
                <w:szCs w:val="24"/>
              </w:rPr>
              <w:t>台新國際商業銀行股份有限公司</w:t>
            </w:r>
          </w:p>
        </w:tc>
        <w:tc>
          <w:tcPr>
            <w:tcW w:w="4110" w:type="dxa"/>
            <w:tcBorders>
              <w:top w:val="single" w:sz="4" w:space="0" w:color="auto"/>
              <w:left w:val="single" w:sz="4" w:space="0" w:color="auto"/>
              <w:bottom w:val="single" w:sz="4" w:space="0" w:color="auto"/>
              <w:right w:val="single" w:sz="4" w:space="0" w:color="auto"/>
            </w:tcBorders>
            <w:vAlign w:val="center"/>
          </w:tcPr>
          <w:p w:rsidR="009F2DAB" w:rsidRPr="003859ED" w:rsidRDefault="009F2DAB" w:rsidP="00F11B99">
            <w:pPr>
              <w:spacing w:after="0" w:line="240" w:lineRule="auto"/>
              <w:jc w:val="both"/>
              <w:rPr>
                <w:rFonts w:ascii="Times" w:eastAsia="標楷體" w:hAnsi="Times"/>
                <w:szCs w:val="24"/>
              </w:rPr>
            </w:pPr>
            <w:r w:rsidRPr="003859ED">
              <w:rPr>
                <w:rFonts w:ascii="Times" w:eastAsia="標楷體" w:hAnsi="Times"/>
                <w:szCs w:val="24"/>
              </w:rPr>
              <w:t>台北市仁愛路四段</w:t>
            </w:r>
            <w:r w:rsidRPr="003859ED">
              <w:rPr>
                <w:rFonts w:ascii="Times" w:eastAsia="標楷體" w:hAnsi="Times"/>
                <w:szCs w:val="24"/>
              </w:rPr>
              <w:t>118</w:t>
            </w:r>
            <w:r w:rsidRPr="003859ED">
              <w:rPr>
                <w:rFonts w:ascii="Times" w:eastAsia="標楷體" w:hAnsi="Times"/>
                <w:szCs w:val="24"/>
              </w:rPr>
              <w:t>號</w:t>
            </w:r>
            <w:r w:rsidRPr="003859ED">
              <w:rPr>
                <w:rFonts w:ascii="Times" w:eastAsia="標楷體" w:hAnsi="Times"/>
                <w:szCs w:val="24"/>
              </w:rPr>
              <w:t>22</w:t>
            </w:r>
            <w:r w:rsidRPr="003859ED">
              <w:rPr>
                <w:rFonts w:ascii="Times" w:eastAsia="標楷體" w:hAnsi="Times"/>
                <w:szCs w:val="24"/>
              </w:rPr>
              <w:t>樓</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DAB" w:rsidRPr="003859ED" w:rsidRDefault="009F2DAB" w:rsidP="003B064D">
            <w:pPr>
              <w:spacing w:after="0" w:line="240" w:lineRule="auto"/>
              <w:ind w:left="0" w:firstLine="0"/>
              <w:jc w:val="right"/>
              <w:rPr>
                <w:rFonts w:ascii="Times" w:eastAsia="標楷體" w:hAnsi="Times" w:cs="新細明體"/>
                <w:szCs w:val="24"/>
              </w:rPr>
            </w:pPr>
            <w:r w:rsidRPr="003859ED">
              <w:rPr>
                <w:rFonts w:ascii="Times" w:eastAsia="標楷體" w:hAnsi="Times" w:cs="新細明體"/>
                <w:szCs w:val="24"/>
              </w:rPr>
              <w:t xml:space="preserve">USD </w:t>
            </w:r>
            <w:r w:rsidR="003B064D">
              <w:rPr>
                <w:rFonts w:ascii="Times" w:eastAsia="標楷體" w:hAnsi="Times" w:cs="新細明體"/>
                <w:szCs w:val="24"/>
              </w:rPr>
              <w:t>10</w:t>
            </w:r>
            <w:r w:rsidRPr="003859ED">
              <w:rPr>
                <w:rFonts w:ascii="Times" w:eastAsia="標楷體" w:hAnsi="Times" w:cs="新細明體"/>
                <w:szCs w:val="24"/>
              </w:rPr>
              <w:t>,000,000</w:t>
            </w:r>
          </w:p>
        </w:tc>
      </w:tr>
      <w:tr w:rsidR="009F2DAB" w:rsidRPr="003859ED" w:rsidTr="009F2DAB">
        <w:trPr>
          <w:trHeight w:val="32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DAB" w:rsidRPr="003859ED" w:rsidRDefault="003B064D" w:rsidP="00F11B99">
            <w:pPr>
              <w:spacing w:after="0" w:line="240" w:lineRule="auto"/>
              <w:ind w:left="0" w:firstLine="0"/>
              <w:jc w:val="both"/>
              <w:rPr>
                <w:rFonts w:ascii="Times" w:eastAsia="標楷體" w:hAnsi="Times"/>
                <w:szCs w:val="24"/>
              </w:rPr>
            </w:pPr>
            <w:r>
              <w:rPr>
                <w:rFonts w:ascii="Times" w:eastAsia="標楷體" w:hAnsi="Times"/>
                <w:szCs w:val="24"/>
              </w:rPr>
              <w:t>上海</w:t>
            </w:r>
            <w:r w:rsidR="009F2DAB" w:rsidRPr="003859ED">
              <w:rPr>
                <w:rFonts w:ascii="Times" w:eastAsia="標楷體" w:hAnsi="Times"/>
                <w:szCs w:val="24"/>
              </w:rPr>
              <w:t>商業銀行股份有限公司</w:t>
            </w:r>
          </w:p>
        </w:tc>
        <w:tc>
          <w:tcPr>
            <w:tcW w:w="4110" w:type="dxa"/>
            <w:tcBorders>
              <w:top w:val="single" w:sz="4" w:space="0" w:color="auto"/>
              <w:left w:val="single" w:sz="4" w:space="0" w:color="auto"/>
              <w:bottom w:val="single" w:sz="4" w:space="0" w:color="auto"/>
              <w:right w:val="single" w:sz="4" w:space="0" w:color="auto"/>
            </w:tcBorders>
            <w:vAlign w:val="center"/>
          </w:tcPr>
          <w:p w:rsidR="009F2DAB" w:rsidRPr="003859ED" w:rsidRDefault="00965C48" w:rsidP="00F11B99">
            <w:pPr>
              <w:spacing w:after="0" w:line="240" w:lineRule="auto"/>
              <w:jc w:val="both"/>
              <w:rPr>
                <w:rFonts w:ascii="Times" w:eastAsia="標楷體" w:hAnsi="Times"/>
                <w:szCs w:val="24"/>
              </w:rPr>
            </w:pPr>
            <w:r w:rsidRPr="00965C48">
              <w:rPr>
                <w:rFonts w:ascii="Times" w:eastAsia="標楷體" w:hAnsi="Times" w:hint="eastAsia"/>
                <w:szCs w:val="24"/>
              </w:rPr>
              <w:t>台北市民生東路二段</w:t>
            </w:r>
            <w:r w:rsidRPr="00965C48">
              <w:rPr>
                <w:rFonts w:ascii="Times" w:eastAsia="標楷體" w:hAnsi="Times"/>
                <w:szCs w:val="24"/>
              </w:rPr>
              <w:t>149</w:t>
            </w:r>
            <w:r w:rsidRPr="00965C48">
              <w:rPr>
                <w:rFonts w:ascii="Times" w:eastAsia="標楷體" w:hAnsi="Times"/>
                <w:szCs w:val="24"/>
              </w:rPr>
              <w:t>號</w:t>
            </w:r>
            <w:r w:rsidRPr="00965C48">
              <w:rPr>
                <w:rFonts w:ascii="Times" w:eastAsia="標楷體" w:hAnsi="Times"/>
                <w:szCs w:val="24"/>
              </w:rPr>
              <w:t>3-12</w:t>
            </w:r>
            <w:r w:rsidRPr="00965C48">
              <w:rPr>
                <w:rFonts w:ascii="Times" w:eastAsia="標楷體" w:hAnsi="Times"/>
                <w:szCs w:val="24"/>
              </w:rPr>
              <w:t>樓</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DAB" w:rsidRPr="003859ED" w:rsidRDefault="009F2DAB" w:rsidP="00F11B99">
            <w:pPr>
              <w:spacing w:after="0" w:line="240" w:lineRule="auto"/>
              <w:ind w:left="0" w:firstLine="0"/>
              <w:jc w:val="right"/>
              <w:rPr>
                <w:rFonts w:ascii="Times" w:eastAsia="標楷體" w:hAnsi="Times" w:cs="新細明體"/>
                <w:szCs w:val="24"/>
              </w:rPr>
            </w:pPr>
            <w:r>
              <w:rPr>
                <w:rFonts w:ascii="Times" w:eastAsia="標楷體" w:hAnsi="Times" w:cs="新細明體"/>
                <w:szCs w:val="24"/>
              </w:rPr>
              <w:t xml:space="preserve">USD </w:t>
            </w:r>
            <w:r w:rsidR="003B064D">
              <w:rPr>
                <w:rFonts w:ascii="Times" w:eastAsia="標楷體" w:hAnsi="Times" w:cs="新細明體" w:hint="eastAsia"/>
                <w:szCs w:val="24"/>
              </w:rPr>
              <w:t>12</w:t>
            </w:r>
            <w:r w:rsidRPr="003859ED">
              <w:rPr>
                <w:rFonts w:ascii="Times" w:eastAsia="標楷體" w:hAnsi="Times" w:cs="新細明體"/>
                <w:szCs w:val="24"/>
              </w:rPr>
              <w:t>,000,000</w:t>
            </w:r>
          </w:p>
        </w:tc>
      </w:tr>
    </w:tbl>
    <w:p w:rsidR="003210FD" w:rsidRPr="009F2DAB" w:rsidRDefault="00AB44AB" w:rsidP="00F11B99">
      <w:pPr>
        <w:numPr>
          <w:ilvl w:val="0"/>
          <w:numId w:val="1"/>
        </w:numPr>
        <w:spacing w:after="0" w:line="240" w:lineRule="auto"/>
        <w:ind w:hanging="480"/>
        <w:rPr>
          <w:rFonts w:ascii="Times" w:eastAsia="標楷體" w:hAnsi="Times"/>
          <w:sz w:val="22"/>
        </w:rPr>
      </w:pPr>
      <w:r w:rsidRPr="009F2DAB">
        <w:rPr>
          <w:rFonts w:ascii="Times" w:eastAsia="標楷體" w:hAnsi="Times"/>
          <w:sz w:val="22"/>
        </w:rPr>
        <w:t>證券承銷商名稱、地址、總承銷</w:t>
      </w:r>
      <w:r w:rsidR="00247A03" w:rsidRPr="009F2DAB">
        <w:rPr>
          <w:rFonts w:ascii="Times" w:eastAsia="標楷體" w:hAnsi="Times"/>
          <w:sz w:val="22"/>
        </w:rPr>
        <w:t>/</w:t>
      </w:r>
      <w:r w:rsidRPr="009F2DAB">
        <w:rPr>
          <w:rFonts w:ascii="Times" w:eastAsia="標楷體" w:hAnsi="Times"/>
          <w:sz w:val="22"/>
        </w:rPr>
        <w:t>洽商銷售</w:t>
      </w:r>
      <w:r w:rsidR="00247A03" w:rsidRPr="009F2DAB">
        <w:rPr>
          <w:rFonts w:ascii="Times" w:eastAsia="標楷體" w:hAnsi="Times"/>
          <w:sz w:val="22"/>
        </w:rPr>
        <w:t>金額</w:t>
      </w:r>
      <w:r w:rsidRPr="009F2DAB">
        <w:rPr>
          <w:rFonts w:ascii="Times" w:eastAsia="標楷體" w:hAnsi="Times"/>
          <w:sz w:val="22"/>
        </w:rPr>
        <w:t>：</w:t>
      </w:r>
    </w:p>
    <w:p w:rsidR="0054564C" w:rsidRPr="009F2DAB" w:rsidRDefault="00AB44AB" w:rsidP="003B064D">
      <w:pPr>
        <w:numPr>
          <w:ilvl w:val="0"/>
          <w:numId w:val="1"/>
        </w:numPr>
        <w:spacing w:after="0" w:line="240" w:lineRule="auto"/>
        <w:ind w:hanging="442"/>
        <w:rPr>
          <w:rFonts w:ascii="Times" w:eastAsia="標楷體" w:hAnsi="Times"/>
          <w:sz w:val="22"/>
        </w:rPr>
      </w:pPr>
      <w:r w:rsidRPr="009F2DAB">
        <w:rPr>
          <w:rFonts w:ascii="Times" w:eastAsia="標楷體" w:hAnsi="Times"/>
          <w:sz w:val="22"/>
        </w:rPr>
        <w:t>承銷總額：</w:t>
      </w:r>
      <w:r w:rsidR="00247A03" w:rsidRPr="009F2DAB">
        <w:rPr>
          <w:rFonts w:ascii="Times" w:eastAsia="標楷體" w:hAnsi="Times"/>
          <w:sz w:val="22"/>
        </w:rPr>
        <w:t>總計</w:t>
      </w:r>
      <w:r w:rsidR="003B064D">
        <w:rPr>
          <w:rFonts w:ascii="Times" w:eastAsia="標楷體" w:hAnsi="Times" w:hint="eastAsia"/>
          <w:sz w:val="22"/>
        </w:rPr>
        <w:t>美金貳仟貳佰萬</w:t>
      </w:r>
      <w:r w:rsidR="00C56705" w:rsidRPr="009F2DAB">
        <w:rPr>
          <w:rFonts w:ascii="Times" w:eastAsia="標楷體" w:hAnsi="Times"/>
          <w:sz w:val="22"/>
          <w:lang w:eastAsia="zh-HK"/>
        </w:rPr>
        <w:t>元整</w:t>
      </w:r>
      <w:r w:rsidR="00C47EB8" w:rsidRPr="009F2DAB">
        <w:rPr>
          <w:rFonts w:ascii="Times" w:eastAsia="標楷體" w:hAnsi="Times"/>
          <w:color w:val="auto"/>
          <w:sz w:val="22"/>
        </w:rPr>
        <w:t>。</w:t>
      </w:r>
    </w:p>
    <w:p w:rsidR="00BB1D8E" w:rsidRPr="009F2DAB" w:rsidRDefault="00AB44AB" w:rsidP="00F11B99">
      <w:pPr>
        <w:numPr>
          <w:ilvl w:val="0"/>
          <w:numId w:val="1"/>
        </w:numPr>
        <w:spacing w:after="0" w:line="240" w:lineRule="auto"/>
        <w:ind w:left="442" w:hangingChars="201" w:hanging="442"/>
        <w:rPr>
          <w:rFonts w:ascii="Times" w:eastAsia="標楷體" w:hAnsi="Times"/>
          <w:sz w:val="22"/>
        </w:rPr>
      </w:pPr>
      <w:r w:rsidRPr="009F2DAB">
        <w:rPr>
          <w:rFonts w:ascii="Times" w:eastAsia="標楷體" w:hAnsi="Times"/>
          <w:sz w:val="22"/>
        </w:rPr>
        <w:t>承銷方式：本債</w:t>
      </w:r>
      <w:r w:rsidR="00247A03" w:rsidRPr="009F2DAB">
        <w:rPr>
          <w:rFonts w:ascii="Times" w:eastAsia="標楷體" w:hAnsi="Times"/>
          <w:sz w:val="22"/>
        </w:rPr>
        <w:t>券</w:t>
      </w:r>
      <w:r w:rsidRPr="009F2DAB">
        <w:rPr>
          <w:rFonts w:ascii="Times" w:eastAsia="標楷體" w:hAnsi="Times"/>
          <w:sz w:val="22"/>
        </w:rPr>
        <w:t>將由承銷商包銷並以洽商銷售方式出售予投資人。</w:t>
      </w:r>
      <w:r w:rsidRPr="009F2DAB">
        <w:rPr>
          <w:rFonts w:ascii="Times" w:eastAsia="標楷體" w:hAnsi="Times" w:cs="Arial"/>
          <w:sz w:val="22"/>
        </w:rPr>
        <w:t xml:space="preserve"> </w:t>
      </w:r>
    </w:p>
    <w:p w:rsidR="009F2DAB" w:rsidRPr="009F2DAB" w:rsidRDefault="00045E63" w:rsidP="00F11B99">
      <w:pPr>
        <w:numPr>
          <w:ilvl w:val="0"/>
          <w:numId w:val="1"/>
        </w:numPr>
        <w:spacing w:after="0" w:line="240" w:lineRule="auto"/>
        <w:ind w:left="442" w:hangingChars="201" w:hanging="442"/>
        <w:rPr>
          <w:rFonts w:ascii="Times" w:eastAsia="標楷體" w:hAnsi="Times"/>
          <w:color w:val="auto"/>
          <w:sz w:val="22"/>
        </w:rPr>
      </w:pPr>
      <w:r w:rsidRPr="009F2DAB">
        <w:rPr>
          <w:rFonts w:ascii="Times" w:eastAsia="標楷體" w:hAnsi="Times"/>
          <w:sz w:val="22"/>
        </w:rPr>
        <w:t>承銷期間：</w:t>
      </w:r>
      <w:r w:rsidR="00B75AEC" w:rsidRPr="009F2DAB">
        <w:rPr>
          <w:rFonts w:ascii="Times" w:eastAsia="標楷體" w:hAnsi="Times"/>
          <w:sz w:val="22"/>
        </w:rPr>
        <w:t>訂</w:t>
      </w:r>
      <w:r w:rsidR="00C56705" w:rsidRPr="009F2DAB">
        <w:rPr>
          <w:rFonts w:ascii="Times" w:eastAsia="標楷體" w:hAnsi="Times"/>
          <w:sz w:val="22"/>
        </w:rPr>
        <w:t>價日為</w:t>
      </w:r>
      <w:r w:rsidR="00C56705" w:rsidRPr="009F2DAB">
        <w:rPr>
          <w:rFonts w:ascii="Times" w:eastAsia="標楷體" w:hAnsi="Times"/>
          <w:sz w:val="22"/>
        </w:rPr>
        <w:t>20</w:t>
      </w:r>
      <w:r w:rsidR="009F2DAB">
        <w:rPr>
          <w:rFonts w:ascii="Times" w:eastAsia="標楷體" w:hAnsi="Times" w:hint="eastAsia"/>
          <w:sz w:val="22"/>
        </w:rPr>
        <w:t>23</w:t>
      </w:r>
      <w:r w:rsidR="00C56705" w:rsidRPr="009F2DAB">
        <w:rPr>
          <w:rFonts w:ascii="Times" w:eastAsia="標楷體" w:hAnsi="Times"/>
          <w:sz w:val="22"/>
        </w:rPr>
        <w:t>年</w:t>
      </w:r>
      <w:r w:rsidR="003B064D">
        <w:rPr>
          <w:rFonts w:ascii="Times" w:eastAsia="標楷體" w:hAnsi="Times" w:hint="eastAsia"/>
          <w:sz w:val="22"/>
        </w:rPr>
        <w:t>5</w:t>
      </w:r>
      <w:r w:rsidR="00C56705" w:rsidRPr="009F2DAB">
        <w:rPr>
          <w:rFonts w:ascii="Times" w:eastAsia="標楷體" w:hAnsi="Times"/>
          <w:sz w:val="22"/>
        </w:rPr>
        <w:t>月</w:t>
      </w:r>
      <w:r w:rsidR="003B064D">
        <w:rPr>
          <w:rFonts w:ascii="Times" w:eastAsia="標楷體" w:hAnsi="Times"/>
          <w:sz w:val="22"/>
        </w:rPr>
        <w:t>2</w:t>
      </w:r>
      <w:r w:rsidR="00C56705" w:rsidRPr="009F2DAB">
        <w:rPr>
          <w:rFonts w:ascii="Times" w:eastAsia="標楷體" w:hAnsi="Times"/>
          <w:sz w:val="22"/>
        </w:rPr>
        <w:t>日，於</w:t>
      </w:r>
      <w:r w:rsidR="00C56705" w:rsidRPr="009F2DAB">
        <w:rPr>
          <w:rFonts w:ascii="Times" w:eastAsia="標楷體" w:hAnsi="Times"/>
          <w:sz w:val="22"/>
        </w:rPr>
        <w:t>20</w:t>
      </w:r>
      <w:r w:rsidR="009F2DAB">
        <w:rPr>
          <w:rFonts w:ascii="Times" w:eastAsia="標楷體" w:hAnsi="Times" w:hint="eastAsia"/>
          <w:sz w:val="22"/>
        </w:rPr>
        <w:t>23</w:t>
      </w:r>
      <w:r w:rsidR="00C56705" w:rsidRPr="009F2DAB">
        <w:rPr>
          <w:rFonts w:ascii="Times" w:eastAsia="標楷體" w:hAnsi="Times"/>
          <w:sz w:val="22"/>
        </w:rPr>
        <w:t>年</w:t>
      </w:r>
      <w:r w:rsidR="003B064D">
        <w:rPr>
          <w:rFonts w:ascii="Times" w:eastAsia="標楷體" w:hAnsi="Times"/>
          <w:sz w:val="22"/>
        </w:rPr>
        <w:t>5</w:t>
      </w:r>
      <w:r w:rsidR="00C56705" w:rsidRPr="009F2DAB">
        <w:rPr>
          <w:rFonts w:ascii="Times" w:eastAsia="標楷體" w:hAnsi="Times"/>
          <w:sz w:val="22"/>
        </w:rPr>
        <w:t>月</w:t>
      </w:r>
      <w:r w:rsidR="003B064D">
        <w:rPr>
          <w:rFonts w:ascii="Times" w:eastAsia="標楷體" w:hAnsi="Times"/>
          <w:sz w:val="22"/>
        </w:rPr>
        <w:t>24</w:t>
      </w:r>
      <w:r w:rsidR="00C56705" w:rsidRPr="009F2DAB">
        <w:rPr>
          <w:rFonts w:ascii="Times" w:eastAsia="標楷體" w:hAnsi="Times"/>
          <w:sz w:val="22"/>
        </w:rPr>
        <w:t>日辦理承銷公告並於</w:t>
      </w:r>
      <w:r w:rsidR="00C56705" w:rsidRPr="009F2DAB">
        <w:rPr>
          <w:rFonts w:ascii="Times" w:eastAsia="標楷體" w:hAnsi="Times"/>
          <w:sz w:val="22"/>
        </w:rPr>
        <w:t>20</w:t>
      </w:r>
      <w:r w:rsidR="009F2DAB">
        <w:rPr>
          <w:rFonts w:ascii="Times" w:eastAsia="標楷體" w:hAnsi="Times" w:hint="eastAsia"/>
          <w:sz w:val="22"/>
        </w:rPr>
        <w:t>23</w:t>
      </w:r>
      <w:r w:rsidR="00C56705" w:rsidRPr="009F2DAB">
        <w:rPr>
          <w:rFonts w:ascii="Times" w:eastAsia="標楷體" w:hAnsi="Times"/>
          <w:sz w:val="22"/>
        </w:rPr>
        <w:t>年</w:t>
      </w:r>
      <w:r w:rsidR="003B064D">
        <w:rPr>
          <w:rFonts w:ascii="Times" w:eastAsia="標楷體" w:hAnsi="Times" w:hint="eastAsia"/>
          <w:sz w:val="22"/>
        </w:rPr>
        <w:t>5</w:t>
      </w:r>
      <w:r w:rsidR="00C56705" w:rsidRPr="009F2DAB">
        <w:rPr>
          <w:rFonts w:ascii="Times" w:eastAsia="標楷體" w:hAnsi="Times"/>
          <w:sz w:val="22"/>
        </w:rPr>
        <w:t>月</w:t>
      </w:r>
      <w:r w:rsidR="003B064D">
        <w:rPr>
          <w:rFonts w:ascii="Times" w:eastAsia="標楷體" w:hAnsi="Times" w:hint="eastAsia"/>
          <w:sz w:val="22"/>
        </w:rPr>
        <w:t>25</w:t>
      </w:r>
      <w:r w:rsidR="00C56705" w:rsidRPr="009F2DAB">
        <w:rPr>
          <w:rFonts w:ascii="Times" w:eastAsia="標楷體" w:hAnsi="Times"/>
          <w:sz w:val="22"/>
        </w:rPr>
        <w:t>日發行。</w:t>
      </w:r>
    </w:p>
    <w:p w:rsidR="00BB1D8E" w:rsidRPr="009F2DAB" w:rsidRDefault="00BD3800" w:rsidP="00F11B99">
      <w:pPr>
        <w:numPr>
          <w:ilvl w:val="0"/>
          <w:numId w:val="1"/>
        </w:numPr>
        <w:spacing w:after="0" w:line="240" w:lineRule="auto"/>
        <w:ind w:left="442" w:hangingChars="201" w:hanging="442"/>
        <w:rPr>
          <w:rFonts w:ascii="Times" w:eastAsia="標楷體" w:hAnsi="Times"/>
          <w:color w:val="auto"/>
          <w:sz w:val="22"/>
        </w:rPr>
      </w:pPr>
      <w:r w:rsidRPr="009F2DAB">
        <w:rPr>
          <w:rFonts w:ascii="Times" w:eastAsia="標楷體" w:hAnsi="Times"/>
          <w:color w:val="auto"/>
          <w:sz w:val="22"/>
        </w:rPr>
        <w:t>承銷</w:t>
      </w:r>
      <w:r w:rsidR="00AB44AB" w:rsidRPr="009F2DAB">
        <w:rPr>
          <w:rFonts w:ascii="Times" w:eastAsia="標楷體" w:hAnsi="Times"/>
          <w:color w:val="auto"/>
          <w:sz w:val="22"/>
        </w:rPr>
        <w:t>價格：</w:t>
      </w:r>
      <w:r w:rsidR="0005162F" w:rsidRPr="009F2DAB">
        <w:rPr>
          <w:rFonts w:ascii="Times" w:eastAsia="標楷體" w:hAnsi="Times"/>
          <w:color w:val="auto"/>
          <w:sz w:val="22"/>
        </w:rPr>
        <w:t>承銷商於銷售期間內依本債</w:t>
      </w:r>
      <w:r w:rsidR="00247A03" w:rsidRPr="009F2DAB">
        <w:rPr>
          <w:rFonts w:ascii="Times" w:eastAsia="標楷體" w:hAnsi="Times"/>
          <w:color w:val="auto"/>
          <w:sz w:val="22"/>
        </w:rPr>
        <w:t>券</w:t>
      </w:r>
      <w:r w:rsidR="0005162F" w:rsidRPr="009F2DAB">
        <w:rPr>
          <w:rFonts w:ascii="Times" w:eastAsia="標楷體" w:hAnsi="Times"/>
          <w:color w:val="auto"/>
          <w:sz w:val="22"/>
        </w:rPr>
        <w:t>票面金額銷售，發行價格為</w:t>
      </w:r>
      <w:r w:rsidR="0005162F" w:rsidRPr="009F2DAB">
        <w:rPr>
          <w:rFonts w:ascii="Times" w:eastAsia="標楷體" w:hAnsi="Times"/>
          <w:color w:val="auto"/>
          <w:sz w:val="22"/>
        </w:rPr>
        <w:t>100%</w:t>
      </w:r>
      <w:r w:rsidR="0005162F" w:rsidRPr="009F2DAB">
        <w:rPr>
          <w:rFonts w:ascii="Times" w:eastAsia="標楷體" w:hAnsi="Times"/>
          <w:color w:val="auto"/>
          <w:sz w:val="22"/>
        </w:rPr>
        <w:t>。</w:t>
      </w:r>
    </w:p>
    <w:p w:rsidR="00BB1D8E" w:rsidRPr="009F2DAB" w:rsidRDefault="00AB44AB" w:rsidP="00F11B99">
      <w:pPr>
        <w:numPr>
          <w:ilvl w:val="0"/>
          <w:numId w:val="1"/>
        </w:numPr>
        <w:spacing w:after="0" w:line="240" w:lineRule="auto"/>
        <w:ind w:left="442" w:hangingChars="201" w:hanging="442"/>
        <w:rPr>
          <w:rFonts w:ascii="Times" w:eastAsia="標楷體" w:hAnsi="Times"/>
          <w:sz w:val="22"/>
        </w:rPr>
      </w:pPr>
      <w:r w:rsidRPr="009F2DAB">
        <w:rPr>
          <w:rFonts w:ascii="Times" w:eastAsia="標楷體" w:hAnsi="Times"/>
          <w:sz w:val="22"/>
        </w:rPr>
        <w:t>本公司債主要發行條件：</w:t>
      </w:r>
      <w:r w:rsidRPr="009F2DAB">
        <w:rPr>
          <w:rFonts w:ascii="Times" w:eastAsia="標楷體" w:hAnsi="Times" w:cs="Arial"/>
          <w:sz w:val="22"/>
        </w:rPr>
        <w:t xml:space="preserve"> </w:t>
      </w:r>
    </w:p>
    <w:p w:rsidR="0075178A" w:rsidRPr="009F2DAB" w:rsidRDefault="0075178A"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訂價日：</w:t>
      </w:r>
      <w:r w:rsidRPr="009F2DAB">
        <w:rPr>
          <w:rFonts w:ascii="Times" w:eastAsia="標楷體" w:hAnsi="Times"/>
          <w:sz w:val="22"/>
        </w:rPr>
        <w:t>20</w:t>
      </w:r>
      <w:r w:rsidR="009F2DAB">
        <w:rPr>
          <w:rFonts w:ascii="Times" w:eastAsia="標楷體" w:hAnsi="Times" w:hint="eastAsia"/>
          <w:sz w:val="22"/>
        </w:rPr>
        <w:t>23</w:t>
      </w:r>
      <w:r w:rsidRPr="009F2DAB">
        <w:rPr>
          <w:rFonts w:ascii="Times" w:eastAsia="標楷體" w:hAnsi="Times"/>
          <w:sz w:val="22"/>
        </w:rPr>
        <w:t>年</w:t>
      </w:r>
      <w:r w:rsidR="003B064D">
        <w:rPr>
          <w:rFonts w:ascii="Times" w:eastAsia="標楷體" w:hAnsi="Times" w:hint="eastAsia"/>
          <w:sz w:val="22"/>
        </w:rPr>
        <w:t>5</w:t>
      </w:r>
      <w:r w:rsidRPr="009F2DAB">
        <w:rPr>
          <w:rFonts w:ascii="Times" w:eastAsia="標楷體" w:hAnsi="Times"/>
          <w:sz w:val="22"/>
        </w:rPr>
        <w:t>月</w:t>
      </w:r>
      <w:r w:rsidR="003B064D">
        <w:rPr>
          <w:rFonts w:ascii="Times" w:eastAsia="標楷體" w:hAnsi="Times" w:hint="eastAsia"/>
          <w:sz w:val="22"/>
        </w:rPr>
        <w:t>2</w:t>
      </w:r>
      <w:r w:rsidRPr="009F2DAB">
        <w:rPr>
          <w:rFonts w:ascii="Times" w:eastAsia="標楷體" w:hAnsi="Times"/>
          <w:sz w:val="22"/>
        </w:rPr>
        <w:t>日</w:t>
      </w:r>
      <w:r w:rsidR="00B75AEC" w:rsidRPr="009F2DAB">
        <w:rPr>
          <w:rFonts w:ascii="Times" w:eastAsia="標楷體" w:hAnsi="Times"/>
          <w:sz w:val="22"/>
        </w:rPr>
        <w:t>。</w:t>
      </w:r>
    </w:p>
    <w:p w:rsidR="00F81890" w:rsidRPr="009F2DAB" w:rsidRDefault="0005162F"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發行日：</w:t>
      </w:r>
      <w:r w:rsidR="00B75AEC" w:rsidRPr="009F2DAB">
        <w:rPr>
          <w:rFonts w:ascii="Times" w:eastAsia="標楷體" w:hAnsi="Times"/>
          <w:sz w:val="22"/>
        </w:rPr>
        <w:t>20</w:t>
      </w:r>
      <w:r w:rsidR="0081223E" w:rsidRPr="009F2DAB">
        <w:rPr>
          <w:rFonts w:ascii="Times" w:eastAsia="標楷體" w:hAnsi="Times" w:hint="eastAsia"/>
          <w:sz w:val="22"/>
        </w:rPr>
        <w:t>2</w:t>
      </w:r>
      <w:r w:rsidR="009F2DAB">
        <w:rPr>
          <w:rFonts w:ascii="Times" w:eastAsia="標楷體" w:hAnsi="Times" w:hint="eastAsia"/>
          <w:sz w:val="22"/>
        </w:rPr>
        <w:t>3</w:t>
      </w:r>
      <w:r w:rsidR="00B75AEC" w:rsidRPr="009F2DAB">
        <w:rPr>
          <w:rFonts w:ascii="Times" w:eastAsia="標楷體" w:hAnsi="Times"/>
          <w:sz w:val="22"/>
        </w:rPr>
        <w:t>年</w:t>
      </w:r>
      <w:r w:rsidR="009F2DAB">
        <w:rPr>
          <w:rFonts w:ascii="Times" w:eastAsia="標楷體" w:hAnsi="Times" w:hint="eastAsia"/>
          <w:sz w:val="22"/>
        </w:rPr>
        <w:t>2</w:t>
      </w:r>
      <w:r w:rsidR="00B75AEC" w:rsidRPr="009F2DAB">
        <w:rPr>
          <w:rFonts w:ascii="Times" w:eastAsia="標楷體" w:hAnsi="Times"/>
          <w:sz w:val="22"/>
        </w:rPr>
        <w:t>月</w:t>
      </w:r>
      <w:r w:rsidR="003B064D">
        <w:rPr>
          <w:rFonts w:ascii="Times" w:eastAsia="標楷體" w:hAnsi="Times" w:hint="eastAsia"/>
          <w:sz w:val="22"/>
        </w:rPr>
        <w:t>25</w:t>
      </w:r>
      <w:r w:rsidR="00B75AEC" w:rsidRPr="009F2DAB">
        <w:rPr>
          <w:rFonts w:ascii="Times" w:eastAsia="標楷體" w:hAnsi="Times"/>
          <w:sz w:val="22"/>
        </w:rPr>
        <w:t>日</w:t>
      </w:r>
      <w:r w:rsidR="008B3B86" w:rsidRPr="009F2DAB">
        <w:rPr>
          <w:rFonts w:ascii="Times" w:eastAsia="標楷體" w:hAnsi="Times"/>
          <w:sz w:val="22"/>
        </w:rPr>
        <w:t>。</w:t>
      </w:r>
    </w:p>
    <w:p w:rsidR="00F81890" w:rsidRPr="009F2DAB" w:rsidRDefault="0005162F"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到期日：</w:t>
      </w:r>
      <w:r w:rsidR="00CA393E" w:rsidRPr="009F2DAB">
        <w:rPr>
          <w:rFonts w:ascii="Times" w:eastAsia="標楷體" w:hAnsi="Times"/>
          <w:sz w:val="22"/>
        </w:rPr>
        <w:t>20</w:t>
      </w:r>
      <w:r w:rsidR="003B064D">
        <w:rPr>
          <w:rFonts w:ascii="Times" w:eastAsia="標楷體" w:hAnsi="Times"/>
          <w:sz w:val="22"/>
        </w:rPr>
        <w:t>33</w:t>
      </w:r>
      <w:r w:rsidR="00B75AEC" w:rsidRPr="009F2DAB">
        <w:rPr>
          <w:rFonts w:ascii="Times" w:eastAsia="標楷體" w:hAnsi="Times"/>
          <w:sz w:val="22"/>
        </w:rPr>
        <w:t>年</w:t>
      </w:r>
      <w:r w:rsidR="003B064D">
        <w:rPr>
          <w:rFonts w:ascii="Times" w:eastAsia="標楷體" w:hAnsi="Times"/>
          <w:sz w:val="22"/>
        </w:rPr>
        <w:t>5</w:t>
      </w:r>
      <w:r w:rsidR="00B75AEC" w:rsidRPr="009F2DAB">
        <w:rPr>
          <w:rFonts w:ascii="Times" w:eastAsia="標楷體" w:hAnsi="Times"/>
          <w:sz w:val="22"/>
        </w:rPr>
        <w:t>月</w:t>
      </w:r>
      <w:r w:rsidR="003B064D">
        <w:rPr>
          <w:rFonts w:ascii="Times" w:eastAsia="標楷體" w:hAnsi="Times" w:hint="eastAsia"/>
          <w:sz w:val="22"/>
        </w:rPr>
        <w:t>25</w:t>
      </w:r>
      <w:r w:rsidR="00B75AEC" w:rsidRPr="009F2DAB">
        <w:rPr>
          <w:rFonts w:ascii="Times" w:eastAsia="標楷體" w:hAnsi="Times"/>
          <w:sz w:val="22"/>
        </w:rPr>
        <w:t>日。</w:t>
      </w:r>
    </w:p>
    <w:p w:rsidR="00B75AEC" w:rsidRPr="009F2DAB" w:rsidRDefault="009F2DAB" w:rsidP="00F11B99">
      <w:pPr>
        <w:pStyle w:val="a3"/>
        <w:numPr>
          <w:ilvl w:val="0"/>
          <w:numId w:val="9"/>
        </w:numPr>
        <w:spacing w:after="0" w:line="240" w:lineRule="auto"/>
        <w:ind w:leftChars="0"/>
        <w:rPr>
          <w:rFonts w:ascii="Times" w:eastAsia="標楷體" w:hAnsi="Times"/>
          <w:sz w:val="22"/>
        </w:rPr>
      </w:pPr>
      <w:r>
        <w:rPr>
          <w:rFonts w:ascii="Times" w:eastAsia="標楷體" w:hAnsi="Times" w:hint="eastAsia"/>
          <w:sz w:val="22"/>
        </w:rPr>
        <w:t>發行</w:t>
      </w:r>
      <w:r w:rsidR="0006434A" w:rsidRPr="009F2DAB">
        <w:rPr>
          <w:rFonts w:ascii="Times" w:eastAsia="標楷體" w:hAnsi="Times" w:hint="eastAsia"/>
          <w:sz w:val="22"/>
        </w:rPr>
        <w:t>機構</w:t>
      </w:r>
      <w:r w:rsidR="00B75AEC" w:rsidRPr="009F2DAB">
        <w:rPr>
          <w:rFonts w:ascii="Times" w:eastAsia="標楷體" w:hAnsi="Times"/>
          <w:sz w:val="22"/>
        </w:rPr>
        <w:t>評等：</w:t>
      </w:r>
      <w:r w:rsidR="003F03F9" w:rsidRPr="009F2DAB">
        <w:rPr>
          <w:rFonts w:ascii="Times" w:eastAsia="標楷體" w:hAnsi="Times"/>
          <w:sz w:val="22"/>
        </w:rPr>
        <w:t xml:space="preserve"> </w:t>
      </w:r>
      <w:r w:rsidR="00B75AEC" w:rsidRPr="009F2DAB">
        <w:rPr>
          <w:rFonts w:ascii="Times" w:eastAsia="標楷體" w:hAnsi="Times"/>
          <w:sz w:val="22"/>
        </w:rPr>
        <w:t>Moody’s A</w:t>
      </w:r>
      <w:r>
        <w:rPr>
          <w:rFonts w:ascii="Times" w:eastAsia="標楷體" w:hAnsi="Times" w:hint="eastAsia"/>
          <w:sz w:val="22"/>
        </w:rPr>
        <w:t>1</w:t>
      </w:r>
      <w:r w:rsidR="00B75AEC" w:rsidRPr="009F2DAB">
        <w:rPr>
          <w:rFonts w:ascii="Times" w:eastAsia="標楷體" w:hAnsi="Times"/>
          <w:sz w:val="22"/>
        </w:rPr>
        <w:t>/</w:t>
      </w:r>
      <w:r w:rsidR="003F03F9" w:rsidRPr="009F2DAB">
        <w:rPr>
          <w:sz w:val="22"/>
        </w:rPr>
        <w:t xml:space="preserve"> </w:t>
      </w:r>
      <w:r w:rsidR="009877E8" w:rsidRPr="009F2DAB">
        <w:rPr>
          <w:rFonts w:ascii="Times" w:eastAsia="標楷體" w:hAnsi="Times"/>
          <w:sz w:val="22"/>
        </w:rPr>
        <w:t xml:space="preserve">S&amp;P </w:t>
      </w:r>
      <w:r>
        <w:rPr>
          <w:rFonts w:ascii="Times" w:eastAsia="標楷體" w:hAnsi="Times" w:hint="eastAsia"/>
          <w:sz w:val="22"/>
        </w:rPr>
        <w:t>A</w:t>
      </w:r>
      <w:r w:rsidR="003F03F9" w:rsidRPr="009F2DAB">
        <w:rPr>
          <w:rFonts w:ascii="Times" w:eastAsia="標楷體" w:hAnsi="Times"/>
          <w:sz w:val="22"/>
        </w:rPr>
        <w:t>/</w:t>
      </w:r>
      <w:r w:rsidR="009877E8" w:rsidRPr="009F2DAB">
        <w:rPr>
          <w:rFonts w:ascii="Times" w:eastAsia="標楷體" w:hAnsi="Times"/>
          <w:sz w:val="22"/>
        </w:rPr>
        <w:t>Fitch A</w:t>
      </w:r>
      <w:r w:rsidR="0030249A">
        <w:rPr>
          <w:rFonts w:ascii="Times" w:eastAsia="標楷體" w:hAnsi="Times"/>
          <w:sz w:val="22"/>
        </w:rPr>
        <w:t>A-</w:t>
      </w:r>
      <w:bookmarkStart w:id="0" w:name="_GoBack"/>
      <w:bookmarkEnd w:id="0"/>
      <w:r w:rsidR="00B75AEC" w:rsidRPr="009F2DAB">
        <w:rPr>
          <w:rFonts w:ascii="Times" w:eastAsia="標楷體" w:hAnsi="Times"/>
          <w:sz w:val="22"/>
        </w:rPr>
        <w:t>。</w:t>
      </w:r>
    </w:p>
    <w:p w:rsidR="00F81890" w:rsidRPr="009F2DAB" w:rsidRDefault="00A30C24"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cs="Arial"/>
          <w:sz w:val="22"/>
          <w:lang w:eastAsia="zh-HK"/>
        </w:rPr>
        <w:t>受償順位</w:t>
      </w:r>
      <w:r w:rsidR="00266F16" w:rsidRPr="009F2DAB">
        <w:rPr>
          <w:rFonts w:ascii="Times" w:eastAsia="標楷體" w:hAnsi="Times"/>
          <w:sz w:val="22"/>
        </w:rPr>
        <w:t>：</w:t>
      </w:r>
      <w:r w:rsidRPr="009F2DAB">
        <w:rPr>
          <w:rFonts w:ascii="Times" w:eastAsia="標楷體" w:hAnsi="Times" w:cs="Arial"/>
          <w:sz w:val="22"/>
          <w:lang w:eastAsia="zh-HK"/>
        </w:rPr>
        <w:t>無擔保主順位債券。</w:t>
      </w:r>
    </w:p>
    <w:p w:rsidR="00F81890" w:rsidRPr="009F2DAB" w:rsidRDefault="00F9600A"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票面金額：</w:t>
      </w:r>
      <w:r w:rsidR="00B75AEC" w:rsidRPr="009F2DAB">
        <w:rPr>
          <w:rFonts w:ascii="Times" w:eastAsia="標楷體" w:hAnsi="Times"/>
          <w:kern w:val="0"/>
          <w:sz w:val="22"/>
        </w:rPr>
        <w:t>美金</w:t>
      </w:r>
      <w:r w:rsidR="008B3B86" w:rsidRPr="009F2DAB">
        <w:rPr>
          <w:rFonts w:ascii="Times" w:eastAsia="標楷體" w:hAnsi="Times"/>
          <w:kern w:val="0"/>
          <w:sz w:val="22"/>
        </w:rPr>
        <w:t>壹佰萬元。</w:t>
      </w:r>
    </w:p>
    <w:p w:rsidR="00F81890" w:rsidRPr="009F2DAB" w:rsidRDefault="00AB44AB"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票面利率：</w:t>
      </w:r>
      <w:r w:rsidR="00965C48">
        <w:rPr>
          <w:rFonts w:ascii="Times" w:eastAsia="標楷體" w:hAnsi="Times"/>
          <w:sz w:val="22"/>
        </w:rPr>
        <w:t xml:space="preserve">5.20% </w:t>
      </w:r>
      <w:r w:rsidR="00965C48">
        <w:rPr>
          <w:rFonts w:ascii="Times" w:eastAsia="標楷體" w:hAnsi="Times" w:hint="eastAsia"/>
          <w:sz w:val="22"/>
        </w:rPr>
        <w:t>p</w:t>
      </w:r>
      <w:r w:rsidR="00965C48">
        <w:rPr>
          <w:rFonts w:ascii="Times" w:eastAsia="標楷體" w:hAnsi="Times"/>
          <w:sz w:val="22"/>
        </w:rPr>
        <w:t>.a.</w:t>
      </w:r>
      <w:r w:rsidR="008B3B86" w:rsidRPr="009F2DAB">
        <w:rPr>
          <w:rFonts w:ascii="Times" w:eastAsia="標楷體" w:hAnsi="Times"/>
          <w:sz w:val="22"/>
        </w:rPr>
        <w:t>。</w:t>
      </w:r>
    </w:p>
    <w:p w:rsidR="00F81890" w:rsidRDefault="00AB44AB" w:rsidP="00555EF6">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計付息方式：</w:t>
      </w:r>
      <w:r w:rsidR="003859ED" w:rsidRPr="009F2DAB">
        <w:rPr>
          <w:rFonts w:ascii="Times" w:eastAsia="標楷體" w:hAnsi="Times"/>
          <w:sz w:val="22"/>
        </w:rPr>
        <w:t>每年</w:t>
      </w:r>
      <w:r w:rsidR="00965C48">
        <w:rPr>
          <w:rFonts w:ascii="Times" w:eastAsia="標楷體" w:hAnsi="Times"/>
          <w:sz w:val="22"/>
        </w:rPr>
        <w:t>5</w:t>
      </w:r>
      <w:r w:rsidR="00555EF6">
        <w:rPr>
          <w:rFonts w:ascii="Times" w:eastAsia="標楷體" w:hAnsi="Times"/>
          <w:sz w:val="22"/>
        </w:rPr>
        <w:t>月</w:t>
      </w:r>
      <w:r w:rsidR="00965C48">
        <w:rPr>
          <w:rFonts w:ascii="Times" w:eastAsia="標楷體" w:hAnsi="Times"/>
          <w:sz w:val="22"/>
        </w:rPr>
        <w:t>25</w:t>
      </w:r>
      <w:r w:rsidR="00555EF6">
        <w:rPr>
          <w:rFonts w:ascii="Times" w:eastAsia="標楷體" w:hAnsi="Times"/>
          <w:sz w:val="22"/>
        </w:rPr>
        <w:t>日計</w:t>
      </w:r>
      <w:r w:rsidR="003859ED" w:rsidRPr="009F2DAB">
        <w:rPr>
          <w:rFonts w:ascii="Times" w:eastAsia="標楷體" w:hAnsi="Times"/>
          <w:sz w:val="22"/>
        </w:rPr>
        <w:t>付息一次</w:t>
      </w:r>
      <w:r w:rsidR="00555EF6">
        <w:rPr>
          <w:rFonts w:ascii="Times" w:eastAsia="標楷體" w:hAnsi="Times"/>
          <w:sz w:val="22"/>
        </w:rPr>
        <w:t>，計息基礎為</w:t>
      </w:r>
      <w:r w:rsidR="00555EF6">
        <w:rPr>
          <w:rFonts w:ascii="Times" w:eastAsia="標楷體" w:hAnsi="Times"/>
          <w:sz w:val="22"/>
        </w:rPr>
        <w:t>30/360</w:t>
      </w:r>
      <w:r w:rsidR="003859ED" w:rsidRPr="00555EF6">
        <w:rPr>
          <w:rFonts w:ascii="Times" w:eastAsia="標楷體" w:hAnsi="Times"/>
          <w:sz w:val="22"/>
        </w:rPr>
        <w:t>。</w:t>
      </w:r>
    </w:p>
    <w:p w:rsidR="00965C48" w:rsidRPr="00965C48" w:rsidRDefault="00965C48" w:rsidP="00965C48">
      <w:pPr>
        <w:pStyle w:val="a3"/>
        <w:numPr>
          <w:ilvl w:val="0"/>
          <w:numId w:val="9"/>
        </w:numPr>
        <w:spacing w:after="0" w:line="240" w:lineRule="auto"/>
        <w:ind w:leftChars="0"/>
        <w:rPr>
          <w:rFonts w:ascii="Times" w:eastAsia="標楷體" w:hAnsi="Times"/>
          <w:sz w:val="22"/>
        </w:rPr>
      </w:pPr>
      <w:r>
        <w:rPr>
          <w:rFonts w:ascii="Times" w:eastAsia="標楷體" w:hAnsi="Times" w:hint="eastAsia"/>
          <w:sz w:val="22"/>
        </w:rPr>
        <w:t>提前贖回：</w:t>
      </w:r>
      <w:r w:rsidRPr="00965C48">
        <w:rPr>
          <w:rFonts w:ascii="Times" w:eastAsia="標楷體" w:hAnsi="Times" w:hint="eastAsia"/>
          <w:sz w:val="22"/>
        </w:rPr>
        <w:t>發行人有權於發行日滿五年後，於每年依面額之</w:t>
      </w:r>
      <w:r w:rsidRPr="00965C48">
        <w:rPr>
          <w:rFonts w:ascii="Times" w:eastAsia="標楷體" w:hAnsi="Times"/>
          <w:sz w:val="22"/>
        </w:rPr>
        <w:t xml:space="preserve"> 100%</w:t>
      </w:r>
      <w:r w:rsidRPr="00965C48">
        <w:rPr>
          <w:rFonts w:ascii="Times" w:eastAsia="標楷體" w:hAnsi="Times"/>
          <w:sz w:val="22"/>
        </w:rPr>
        <w:t>加上應計利息執行買回</w:t>
      </w:r>
    </w:p>
    <w:p w:rsidR="00965C48" w:rsidRPr="00555EF6" w:rsidRDefault="00965C48" w:rsidP="00965C48">
      <w:pPr>
        <w:pStyle w:val="a3"/>
        <w:spacing w:after="0" w:line="240" w:lineRule="auto"/>
        <w:ind w:leftChars="0" w:left="1048" w:firstLine="0"/>
        <w:rPr>
          <w:rFonts w:ascii="Times" w:eastAsia="標楷體" w:hAnsi="Times"/>
          <w:sz w:val="22"/>
        </w:rPr>
      </w:pPr>
      <w:r w:rsidRPr="00965C48">
        <w:rPr>
          <w:rFonts w:ascii="Times" w:eastAsia="標楷體" w:hAnsi="Times" w:hint="eastAsia"/>
          <w:sz w:val="22"/>
        </w:rPr>
        <w:t>權，若發行人欲行使提前贖回權，將於預定贖回日最少十個營業日前預先通知。</w:t>
      </w:r>
    </w:p>
    <w:p w:rsidR="00965C48" w:rsidRPr="00965C48" w:rsidRDefault="00AB44AB" w:rsidP="00965C48">
      <w:pPr>
        <w:pStyle w:val="a3"/>
        <w:numPr>
          <w:ilvl w:val="0"/>
          <w:numId w:val="9"/>
        </w:numPr>
        <w:spacing w:after="0" w:line="240" w:lineRule="auto"/>
        <w:ind w:leftChars="0"/>
        <w:jc w:val="both"/>
        <w:rPr>
          <w:rFonts w:ascii="Times" w:eastAsia="標楷體" w:hAnsi="Times"/>
          <w:sz w:val="22"/>
        </w:rPr>
      </w:pPr>
      <w:r w:rsidRPr="009F2DAB">
        <w:rPr>
          <w:rFonts w:ascii="Times" w:eastAsia="標楷體" w:hAnsi="Times"/>
          <w:sz w:val="22"/>
        </w:rPr>
        <w:t>還本方式：</w:t>
      </w:r>
      <w:r w:rsidR="00965C48" w:rsidRPr="00965C48">
        <w:rPr>
          <w:rFonts w:ascii="Times" w:eastAsia="標楷體" w:hAnsi="Times" w:hint="eastAsia"/>
          <w:sz w:val="22"/>
        </w:rPr>
        <w:t>若發行期間未執行買回權，發行人於到期日以面額之</w:t>
      </w:r>
      <w:r w:rsidR="00965C48" w:rsidRPr="00965C48">
        <w:rPr>
          <w:rFonts w:ascii="Times" w:eastAsia="標楷體" w:hAnsi="Times"/>
          <w:sz w:val="22"/>
        </w:rPr>
        <w:t xml:space="preserve"> 100%</w:t>
      </w:r>
      <w:r w:rsidR="00965C48" w:rsidRPr="00965C48">
        <w:rPr>
          <w:rFonts w:ascii="Times" w:eastAsia="標楷體" w:hAnsi="Times"/>
          <w:sz w:val="22"/>
        </w:rPr>
        <w:t>價格加上應計利息</w:t>
      </w:r>
    </w:p>
    <w:p w:rsidR="00F81890" w:rsidRPr="009F2DAB" w:rsidRDefault="00965C48" w:rsidP="00965C48">
      <w:pPr>
        <w:pStyle w:val="a3"/>
        <w:spacing w:after="0" w:line="240" w:lineRule="auto"/>
        <w:ind w:leftChars="0" w:left="1048" w:firstLine="0"/>
        <w:jc w:val="both"/>
        <w:rPr>
          <w:rFonts w:ascii="Times" w:eastAsia="標楷體" w:hAnsi="Times"/>
          <w:sz w:val="22"/>
        </w:rPr>
      </w:pPr>
      <w:r w:rsidRPr="00965C48">
        <w:rPr>
          <w:rFonts w:ascii="Times" w:eastAsia="標楷體" w:hAnsi="Times" w:hint="eastAsia"/>
          <w:sz w:val="22"/>
        </w:rPr>
        <w:t>買回本債券。</w:t>
      </w:r>
    </w:p>
    <w:p w:rsidR="003859ED" w:rsidRPr="009F2DAB" w:rsidRDefault="009877E8"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營業日：</w:t>
      </w:r>
      <w:r w:rsidR="00965C48">
        <w:rPr>
          <w:rFonts w:ascii="Times" w:eastAsia="標楷體" w:hAnsi="Times"/>
          <w:sz w:val="22"/>
        </w:rPr>
        <w:t>TARGET</w:t>
      </w:r>
      <w:r w:rsidR="00965C48">
        <w:rPr>
          <w:rFonts w:ascii="Times" w:eastAsia="標楷體" w:hAnsi="Times"/>
          <w:sz w:val="22"/>
        </w:rPr>
        <w:t>、</w:t>
      </w:r>
      <w:r w:rsidRPr="009F2DAB">
        <w:rPr>
          <w:rFonts w:ascii="Times" w:eastAsia="標楷體" w:hAnsi="Times"/>
          <w:sz w:val="22"/>
        </w:rPr>
        <w:t>倫敦</w:t>
      </w:r>
      <w:r w:rsidRPr="009F2DAB">
        <w:rPr>
          <w:rFonts w:ascii="Times" w:eastAsia="標楷體" w:hAnsi="Times" w:hint="eastAsia"/>
          <w:sz w:val="22"/>
        </w:rPr>
        <w:t>、</w:t>
      </w:r>
      <w:r w:rsidR="003859ED" w:rsidRPr="009F2DAB">
        <w:rPr>
          <w:rFonts w:ascii="Times" w:eastAsia="標楷體" w:hAnsi="Times"/>
          <w:sz w:val="22"/>
        </w:rPr>
        <w:t>紐約</w:t>
      </w:r>
      <w:r w:rsidRPr="009F2DAB">
        <w:rPr>
          <w:rFonts w:ascii="Times" w:eastAsia="標楷體" w:hAnsi="Times" w:hint="eastAsia"/>
          <w:sz w:val="22"/>
        </w:rPr>
        <w:t>及台北</w:t>
      </w:r>
      <w:r w:rsidR="003859ED" w:rsidRPr="009F2DAB">
        <w:rPr>
          <w:rFonts w:ascii="Times" w:eastAsia="標楷體" w:hAnsi="Times"/>
          <w:sz w:val="22"/>
        </w:rPr>
        <w:t>之商業銀行對外營業之日。</w:t>
      </w:r>
    </w:p>
    <w:p w:rsidR="003859ED" w:rsidRPr="009F2DAB" w:rsidRDefault="003859ED" w:rsidP="00F11B99">
      <w:pPr>
        <w:pStyle w:val="a3"/>
        <w:numPr>
          <w:ilvl w:val="0"/>
          <w:numId w:val="9"/>
        </w:numPr>
        <w:spacing w:after="0" w:line="240" w:lineRule="auto"/>
        <w:ind w:leftChars="0"/>
        <w:rPr>
          <w:rFonts w:ascii="Times" w:eastAsia="標楷體" w:hAnsi="Times"/>
          <w:sz w:val="22"/>
        </w:rPr>
      </w:pPr>
      <w:r w:rsidRPr="009F2DAB">
        <w:rPr>
          <w:rFonts w:ascii="Times" w:eastAsia="標楷體" w:hAnsi="Times"/>
          <w:sz w:val="22"/>
        </w:rPr>
        <w:t>準據法：英國法。</w:t>
      </w:r>
    </w:p>
    <w:p w:rsidR="00483231" w:rsidRPr="009F2DAB" w:rsidRDefault="00AB44AB" w:rsidP="00F11B99">
      <w:pPr>
        <w:pStyle w:val="a3"/>
        <w:numPr>
          <w:ilvl w:val="0"/>
          <w:numId w:val="9"/>
        </w:numPr>
        <w:spacing w:after="0" w:line="240" w:lineRule="auto"/>
        <w:ind w:leftChars="0" w:left="1276" w:hanging="708"/>
        <w:rPr>
          <w:rFonts w:ascii="Times" w:eastAsia="標楷體" w:hAnsi="Times"/>
          <w:sz w:val="22"/>
        </w:rPr>
      </w:pPr>
      <w:r w:rsidRPr="009F2DAB">
        <w:rPr>
          <w:rFonts w:ascii="Times" w:eastAsia="標楷體" w:hAnsi="Times"/>
          <w:sz w:val="22"/>
        </w:rPr>
        <w:t>債券掛牌處所：中華民國證券櫃檯買賣中心</w:t>
      </w:r>
      <w:r w:rsidR="00965C48">
        <w:rPr>
          <w:rFonts w:ascii="Times" w:eastAsia="標楷體" w:hAnsi="Times"/>
          <w:sz w:val="22"/>
        </w:rPr>
        <w:t>、盧森堡交易所</w:t>
      </w:r>
      <w:r w:rsidR="00965C48">
        <w:rPr>
          <w:rFonts w:ascii="Times" w:eastAsia="標楷體" w:hAnsi="Times"/>
          <w:sz w:val="22"/>
        </w:rPr>
        <w:t xml:space="preserve">Euro </w:t>
      </w:r>
      <w:r w:rsidR="00DF0A74">
        <w:rPr>
          <w:rFonts w:ascii="Times" w:eastAsia="標楷體" w:hAnsi="Times"/>
          <w:sz w:val="22"/>
        </w:rPr>
        <w:t>M</w:t>
      </w:r>
      <w:r w:rsidR="00965C48">
        <w:rPr>
          <w:rFonts w:ascii="Times" w:eastAsia="標楷體" w:hAnsi="Times"/>
          <w:sz w:val="22"/>
        </w:rPr>
        <w:t>TF</w:t>
      </w:r>
      <w:r w:rsidR="00C31112" w:rsidRPr="009F2DAB">
        <w:rPr>
          <w:rFonts w:ascii="Times" w:eastAsia="標楷體" w:hAnsi="Times" w:cs="Arial"/>
          <w:sz w:val="22"/>
        </w:rPr>
        <w:t>。</w:t>
      </w:r>
    </w:p>
    <w:p w:rsidR="00B75AEC" w:rsidRPr="009F2DAB" w:rsidRDefault="00B75AEC" w:rsidP="00F11B99">
      <w:pPr>
        <w:numPr>
          <w:ilvl w:val="0"/>
          <w:numId w:val="1"/>
        </w:numPr>
        <w:spacing w:after="0" w:line="240" w:lineRule="auto"/>
        <w:ind w:hanging="480"/>
        <w:rPr>
          <w:rFonts w:ascii="Times" w:eastAsia="標楷體" w:hAnsi="Times"/>
          <w:sz w:val="22"/>
        </w:rPr>
      </w:pPr>
      <w:r w:rsidRPr="009F2DAB">
        <w:rPr>
          <w:rFonts w:ascii="Times" w:eastAsia="標楷體" w:hAnsi="Times"/>
          <w:sz w:val="22"/>
        </w:rPr>
        <w:t>通知、繳交價款及交付本債</w:t>
      </w:r>
      <w:r w:rsidR="003859ED" w:rsidRPr="009F2DAB">
        <w:rPr>
          <w:rFonts w:ascii="Times" w:eastAsia="標楷體" w:hAnsi="Times" w:hint="eastAsia"/>
          <w:sz w:val="22"/>
        </w:rPr>
        <w:t>券</w:t>
      </w:r>
      <w:r w:rsidRPr="009F2DAB">
        <w:rPr>
          <w:rFonts w:ascii="Times" w:eastAsia="標楷體" w:hAnsi="Times"/>
          <w:sz w:val="22"/>
        </w:rPr>
        <w:t>方式：</w:t>
      </w:r>
    </w:p>
    <w:p w:rsidR="00B75AEC" w:rsidRPr="009F2DAB" w:rsidRDefault="00B75AEC" w:rsidP="00F11B99">
      <w:pPr>
        <w:spacing w:after="0" w:line="240" w:lineRule="auto"/>
        <w:ind w:left="480" w:firstLine="0"/>
        <w:jc w:val="both"/>
        <w:rPr>
          <w:rFonts w:ascii="Times" w:eastAsia="標楷體" w:hAnsi="Times"/>
          <w:sz w:val="22"/>
        </w:rPr>
      </w:pPr>
      <w:r w:rsidRPr="009F2DAB">
        <w:rPr>
          <w:rFonts w:ascii="Times" w:eastAsia="標楷體" w:hAnsi="Times"/>
          <w:sz w:val="22"/>
        </w:rPr>
        <w:t>承銷商於發行日前通知投資人繳交價款之方式，投資人於發行日以</w:t>
      </w:r>
      <w:r w:rsidRPr="009F2DAB">
        <w:rPr>
          <w:rFonts w:ascii="Times" w:eastAsia="標楷體" w:hAnsi="Times"/>
          <w:sz w:val="22"/>
        </w:rPr>
        <w:t>Euroclear</w:t>
      </w:r>
      <w:r w:rsidRPr="009F2DAB">
        <w:rPr>
          <w:rFonts w:ascii="Times" w:eastAsia="標楷體" w:hAnsi="Times"/>
          <w:sz w:val="22"/>
        </w:rPr>
        <w:t>或</w:t>
      </w:r>
      <w:r w:rsidRPr="009F2DAB">
        <w:rPr>
          <w:rFonts w:ascii="Times" w:eastAsia="標楷體" w:hAnsi="Times"/>
          <w:sz w:val="22"/>
        </w:rPr>
        <w:t>Clearstream(DVP)</w:t>
      </w:r>
      <w:r w:rsidRPr="009F2DAB">
        <w:rPr>
          <w:rFonts w:ascii="Times" w:eastAsia="標楷體" w:hAnsi="Times"/>
          <w:sz w:val="22"/>
        </w:rPr>
        <w:t>完成交割或於發行日將本債券之認購款項匯入承銷商指定帳戶，承銷商將本債券撥入投資人所指定之集保帳戶。</w:t>
      </w:r>
    </w:p>
    <w:p w:rsidR="00BB1D8E" w:rsidRPr="009F2DAB" w:rsidRDefault="00AB44AB" w:rsidP="00F11B99">
      <w:pPr>
        <w:numPr>
          <w:ilvl w:val="0"/>
          <w:numId w:val="1"/>
        </w:numPr>
        <w:spacing w:after="0" w:line="240" w:lineRule="auto"/>
        <w:ind w:hanging="480"/>
        <w:rPr>
          <w:rFonts w:ascii="Times" w:eastAsia="標楷體" w:hAnsi="Times"/>
          <w:sz w:val="22"/>
        </w:rPr>
      </w:pPr>
      <w:r w:rsidRPr="009F2DAB">
        <w:rPr>
          <w:rFonts w:ascii="Times" w:eastAsia="標楷體" w:hAnsi="Times"/>
          <w:sz w:val="22"/>
        </w:rPr>
        <w:t>銷售限制：</w:t>
      </w:r>
    </w:p>
    <w:p w:rsidR="00BB1D8E" w:rsidRPr="009F2DAB" w:rsidRDefault="00AB44AB" w:rsidP="00F11B99">
      <w:pPr>
        <w:pStyle w:val="a3"/>
        <w:numPr>
          <w:ilvl w:val="0"/>
          <w:numId w:val="7"/>
        </w:numPr>
        <w:spacing w:after="0" w:line="240" w:lineRule="auto"/>
        <w:ind w:leftChars="0"/>
        <w:rPr>
          <w:rFonts w:ascii="Times" w:eastAsia="標楷體" w:hAnsi="Times"/>
          <w:sz w:val="22"/>
        </w:rPr>
      </w:pPr>
      <w:r w:rsidRPr="009F2DAB">
        <w:rPr>
          <w:rFonts w:ascii="Times" w:eastAsia="標楷體" w:hAnsi="Times"/>
          <w:sz w:val="22"/>
        </w:rPr>
        <w:t>僅限</w:t>
      </w:r>
      <w:r w:rsidR="0031526E">
        <w:rPr>
          <w:rFonts w:ascii="Times" w:eastAsia="標楷體" w:hAnsi="Times"/>
          <w:sz w:val="22"/>
        </w:rPr>
        <w:t>「金融消費者保護法」第四條第二款</w:t>
      </w:r>
      <w:r w:rsidRPr="009F2DAB">
        <w:rPr>
          <w:rFonts w:ascii="Times" w:eastAsia="標楷體" w:hAnsi="Times"/>
          <w:sz w:val="22"/>
        </w:rPr>
        <w:t>所</w:t>
      </w:r>
      <w:r w:rsidR="0031526E">
        <w:rPr>
          <w:rFonts w:ascii="Times" w:eastAsia="標楷體" w:hAnsi="Times"/>
          <w:sz w:val="22"/>
        </w:rPr>
        <w:t>規</w:t>
      </w:r>
      <w:r w:rsidRPr="009F2DAB">
        <w:rPr>
          <w:rFonts w:ascii="Times" w:eastAsia="標楷體" w:hAnsi="Times"/>
          <w:sz w:val="22"/>
        </w:rPr>
        <w:t>定之專業</w:t>
      </w:r>
      <w:r w:rsidR="0031526E">
        <w:rPr>
          <w:rFonts w:ascii="Times" w:eastAsia="標楷體" w:hAnsi="Times"/>
          <w:sz w:val="22"/>
        </w:rPr>
        <w:t>機構</w:t>
      </w:r>
      <w:r w:rsidRPr="009F2DAB">
        <w:rPr>
          <w:rFonts w:ascii="Times" w:eastAsia="標楷體" w:hAnsi="Times"/>
          <w:sz w:val="22"/>
        </w:rPr>
        <w:t>投資</w:t>
      </w:r>
      <w:r w:rsidR="00555EF6">
        <w:rPr>
          <w:rFonts w:ascii="Times" w:eastAsia="標楷體" w:hAnsi="Times"/>
          <w:sz w:val="22"/>
        </w:rPr>
        <w:t>人</w:t>
      </w:r>
      <w:r w:rsidRPr="009F2DAB">
        <w:rPr>
          <w:rFonts w:ascii="Times" w:eastAsia="標楷體" w:hAnsi="Times"/>
          <w:sz w:val="22"/>
        </w:rPr>
        <w:t>。</w:t>
      </w:r>
    </w:p>
    <w:p w:rsidR="00BB1D8E" w:rsidRPr="009F2DAB" w:rsidRDefault="00AB44AB" w:rsidP="00F11B99">
      <w:pPr>
        <w:pStyle w:val="a3"/>
        <w:numPr>
          <w:ilvl w:val="0"/>
          <w:numId w:val="7"/>
        </w:numPr>
        <w:spacing w:after="0" w:line="240" w:lineRule="auto"/>
        <w:ind w:leftChars="0"/>
        <w:rPr>
          <w:rFonts w:ascii="Times" w:eastAsia="標楷體" w:hAnsi="Times"/>
          <w:sz w:val="22"/>
        </w:rPr>
      </w:pPr>
      <w:r w:rsidRPr="009F2DAB">
        <w:rPr>
          <w:rFonts w:ascii="Times" w:eastAsia="標楷體" w:hAnsi="Times"/>
          <w:sz w:val="22"/>
        </w:rPr>
        <w:t>依中華民國證券商業同業公會證券商承銷或再行銷售有價證券處理辦法第三十二條之規定，認購人僅限專業投資人者，每一認購人認購數量不得超過該次承銷總數之百分之八十</w:t>
      </w:r>
      <w:r w:rsidR="0005162F" w:rsidRPr="009F2DAB">
        <w:rPr>
          <w:rFonts w:ascii="Times" w:eastAsia="標楷體" w:hAnsi="Times"/>
          <w:sz w:val="22"/>
        </w:rPr>
        <w:t>，</w:t>
      </w:r>
      <w:r w:rsidRPr="009F2DAB">
        <w:rPr>
          <w:rFonts w:ascii="Times" w:eastAsia="標楷體" w:hAnsi="Times"/>
          <w:sz w:val="22"/>
        </w:rPr>
        <w:t>惟認購人為政府基金者，不在此限。</w:t>
      </w:r>
    </w:p>
    <w:p w:rsidR="00B43F99" w:rsidRPr="009F2DAB" w:rsidRDefault="00AB44AB" w:rsidP="0031526E">
      <w:pPr>
        <w:numPr>
          <w:ilvl w:val="0"/>
          <w:numId w:val="1"/>
        </w:numPr>
        <w:spacing w:after="0" w:line="240" w:lineRule="auto"/>
        <w:ind w:hanging="577"/>
        <w:jc w:val="both"/>
        <w:rPr>
          <w:rFonts w:ascii="Times" w:eastAsia="標楷體" w:hAnsi="Times"/>
          <w:b/>
          <w:sz w:val="22"/>
        </w:rPr>
      </w:pPr>
      <w:r w:rsidRPr="009F2DAB">
        <w:rPr>
          <w:rFonts w:ascii="Times" w:eastAsia="標楷體" w:hAnsi="Times"/>
          <w:b/>
          <w:sz w:val="22"/>
        </w:rPr>
        <w:t>公開說明書之分送、揭露及取閱方式：如經投資人同意承銷商得以電子郵件方式交付公開說明書，投資人並得至公開資訊觀測站</w:t>
      </w:r>
      <w:hyperlink r:id="rId7">
        <w:r w:rsidRPr="009F2DAB">
          <w:rPr>
            <w:rFonts w:ascii="Times" w:eastAsia="標楷體" w:hAnsi="Times"/>
            <w:b/>
            <w:sz w:val="22"/>
          </w:rPr>
          <w:t>(</w:t>
        </w:r>
      </w:hyperlink>
      <w:hyperlink r:id="rId8">
        <w:r w:rsidRPr="009F2DAB">
          <w:rPr>
            <w:rFonts w:ascii="Times" w:eastAsia="標楷體" w:hAnsi="Times"/>
            <w:b/>
            <w:sz w:val="22"/>
          </w:rPr>
          <w:t>http://mops.t</w:t>
        </w:r>
        <w:r w:rsidR="008F44B4" w:rsidRPr="009F2DAB">
          <w:rPr>
            <w:rFonts w:ascii="Times" w:eastAsia="標楷體" w:hAnsi="Times"/>
            <w:b/>
            <w:sz w:val="22"/>
          </w:rPr>
          <w:t>w</w:t>
        </w:r>
        <w:r w:rsidRPr="009F2DAB">
          <w:rPr>
            <w:rFonts w:ascii="Times" w:eastAsia="標楷體" w:hAnsi="Times"/>
            <w:b/>
            <w:sz w:val="22"/>
          </w:rPr>
          <w:t>se.com.tw</w:t>
        </w:r>
      </w:hyperlink>
      <w:hyperlink r:id="rId9">
        <w:r w:rsidRPr="009F2DAB">
          <w:rPr>
            <w:rFonts w:ascii="Times" w:eastAsia="標楷體" w:hAnsi="Times"/>
            <w:b/>
            <w:sz w:val="22"/>
          </w:rPr>
          <w:t>)</w:t>
        </w:r>
      </w:hyperlink>
      <w:r w:rsidRPr="009F2DAB">
        <w:rPr>
          <w:rFonts w:ascii="Times" w:eastAsia="標楷體" w:hAnsi="Times"/>
          <w:b/>
          <w:sz w:val="22"/>
        </w:rPr>
        <w:t>或承銷商網站</w:t>
      </w:r>
      <w:r w:rsidR="00BE45FD" w:rsidRPr="009F2DAB">
        <w:rPr>
          <w:rFonts w:ascii="Times" w:eastAsia="標楷體" w:hAnsi="Times"/>
          <w:b/>
          <w:sz w:val="22"/>
        </w:rPr>
        <w:t>（台新國際商業銀行股份有限公司，網址：</w:t>
      </w:r>
      <w:hyperlink r:id="rId10" w:history="1">
        <w:r w:rsidR="00BE45FD" w:rsidRPr="009F2DAB">
          <w:rPr>
            <w:rFonts w:ascii="Times" w:eastAsia="標楷體" w:hAnsi="Times"/>
            <w:b/>
            <w:sz w:val="22"/>
          </w:rPr>
          <w:t>https://www.taishinbank.com.tw</w:t>
        </w:r>
      </w:hyperlink>
      <w:r w:rsidR="00BE45FD" w:rsidRPr="009F2DAB">
        <w:rPr>
          <w:rFonts w:ascii="Times" w:eastAsia="標楷體" w:hAnsi="Times"/>
          <w:b/>
          <w:sz w:val="22"/>
        </w:rPr>
        <w:t>；</w:t>
      </w:r>
      <w:r w:rsidR="0031526E" w:rsidRPr="0031526E">
        <w:rPr>
          <w:rFonts w:ascii="Times" w:eastAsia="標楷體" w:hAnsi="Times" w:hint="eastAsia"/>
          <w:b/>
          <w:sz w:val="22"/>
        </w:rPr>
        <w:t>上海儲蓄商業銀行股份有限公司</w:t>
      </w:r>
      <w:r w:rsidR="009F2DAB">
        <w:rPr>
          <w:rFonts w:ascii="Times" w:eastAsia="標楷體" w:hAnsi="Times"/>
          <w:b/>
          <w:sz w:val="22"/>
        </w:rPr>
        <w:t>，網址：</w:t>
      </w:r>
      <w:r w:rsidR="0031526E" w:rsidRPr="0031526E">
        <w:rPr>
          <w:rFonts w:ascii="Times" w:eastAsia="標楷體" w:hAnsi="Times"/>
          <w:b/>
          <w:sz w:val="22"/>
        </w:rPr>
        <w:t>https://www.scsb.com.tw/</w:t>
      </w:r>
      <w:r w:rsidR="00BE45FD" w:rsidRPr="009F2DAB">
        <w:rPr>
          <w:rFonts w:ascii="Times" w:eastAsia="標楷體" w:hAnsi="Times" w:cs="Times New Roman"/>
          <w:b/>
          <w:color w:val="auto"/>
          <w:sz w:val="22"/>
        </w:rPr>
        <w:t>）</w:t>
      </w:r>
      <w:r w:rsidR="005C51E1" w:rsidRPr="009F2DAB">
        <w:rPr>
          <w:rFonts w:ascii="Times" w:eastAsia="標楷體" w:hAnsi="Times" w:cs="Times New Roman"/>
          <w:b/>
          <w:color w:val="auto"/>
          <w:sz w:val="22"/>
        </w:rPr>
        <w:t>查詢</w:t>
      </w:r>
      <w:r w:rsidR="00BE45FD" w:rsidRPr="009F2DAB">
        <w:rPr>
          <w:rFonts w:ascii="Times" w:eastAsia="標楷體" w:hAnsi="Times" w:cs="Times New Roman"/>
          <w:b/>
          <w:color w:val="auto"/>
          <w:sz w:val="22"/>
        </w:rPr>
        <w:t>下載</w:t>
      </w:r>
      <w:r w:rsidR="005C51E1" w:rsidRPr="009F2DAB">
        <w:rPr>
          <w:rFonts w:ascii="Times" w:eastAsia="標楷體" w:hAnsi="Times" w:cs="Times New Roman"/>
          <w:b/>
          <w:color w:val="auto"/>
          <w:sz w:val="22"/>
        </w:rPr>
        <w:t>。</w:t>
      </w:r>
    </w:p>
    <w:p w:rsidR="00A17F94" w:rsidRPr="009F2DAB" w:rsidRDefault="00AB44AB" w:rsidP="00F11B99">
      <w:pPr>
        <w:numPr>
          <w:ilvl w:val="0"/>
          <w:numId w:val="2"/>
        </w:numPr>
        <w:spacing w:after="0" w:line="240" w:lineRule="auto"/>
        <w:ind w:left="567" w:hanging="567"/>
        <w:rPr>
          <w:rFonts w:ascii="Times" w:eastAsia="標楷體" w:hAnsi="Times" w:cs="Calibri"/>
          <w:sz w:val="22"/>
        </w:rPr>
      </w:pPr>
      <w:r w:rsidRPr="009F2DAB">
        <w:rPr>
          <w:rFonts w:ascii="Times" w:eastAsia="標楷體" w:hAnsi="Times"/>
          <w:sz w:val="22"/>
        </w:rPr>
        <w:t>會計師對最近期與最近三年度財務資料之查核簽證意見</w:t>
      </w:r>
    </w:p>
    <w:tbl>
      <w:tblPr>
        <w:tblW w:w="7398" w:type="dxa"/>
        <w:tblInd w:w="56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61"/>
        <w:gridCol w:w="4123"/>
        <w:gridCol w:w="1914"/>
      </w:tblGrid>
      <w:tr w:rsidR="00900B12" w:rsidRPr="009F2DAB" w:rsidTr="00F11B99">
        <w:trPr>
          <w:trHeight w:val="76"/>
        </w:trPr>
        <w:tc>
          <w:tcPr>
            <w:tcW w:w="1361" w:type="dxa"/>
            <w:tcBorders>
              <w:top w:val="single" w:sz="4" w:space="0" w:color="auto"/>
              <w:left w:val="single" w:sz="4" w:space="0" w:color="auto"/>
              <w:bottom w:val="single" w:sz="4" w:space="0" w:color="auto"/>
              <w:right w:val="single" w:sz="4" w:space="0" w:color="auto"/>
            </w:tcBorders>
            <w:vAlign w:val="center"/>
          </w:tcPr>
          <w:p w:rsidR="00900B12" w:rsidRPr="00F11B99" w:rsidRDefault="00900B12" w:rsidP="00F11B99">
            <w:pPr>
              <w:tabs>
                <w:tab w:val="left" w:pos="2280"/>
              </w:tabs>
              <w:spacing w:after="0" w:line="240" w:lineRule="auto"/>
              <w:jc w:val="center"/>
              <w:rPr>
                <w:rFonts w:ascii="Times" w:eastAsia="標楷體" w:hAnsi="Times"/>
                <w:sz w:val="20"/>
                <w:szCs w:val="20"/>
              </w:rPr>
            </w:pPr>
            <w:r w:rsidRPr="00F11B99">
              <w:rPr>
                <w:rFonts w:ascii="Times" w:eastAsia="標楷體" w:hAnsi="Times"/>
                <w:sz w:val="20"/>
                <w:szCs w:val="20"/>
              </w:rPr>
              <w:t>年度</w:t>
            </w:r>
          </w:p>
        </w:tc>
        <w:tc>
          <w:tcPr>
            <w:tcW w:w="4123" w:type="dxa"/>
            <w:tcBorders>
              <w:top w:val="single" w:sz="4" w:space="0" w:color="auto"/>
              <w:left w:val="single" w:sz="4" w:space="0" w:color="auto"/>
              <w:bottom w:val="single" w:sz="4" w:space="0" w:color="auto"/>
              <w:right w:val="single" w:sz="4" w:space="0" w:color="auto"/>
            </w:tcBorders>
            <w:vAlign w:val="center"/>
          </w:tcPr>
          <w:p w:rsidR="00900B12" w:rsidRPr="00F11B99" w:rsidRDefault="00900B12" w:rsidP="00F11B99">
            <w:pPr>
              <w:tabs>
                <w:tab w:val="left" w:pos="2280"/>
              </w:tabs>
              <w:spacing w:after="0" w:line="240" w:lineRule="auto"/>
              <w:jc w:val="center"/>
              <w:rPr>
                <w:rFonts w:ascii="Times" w:eastAsia="標楷體" w:hAnsi="Times"/>
                <w:sz w:val="20"/>
                <w:szCs w:val="20"/>
              </w:rPr>
            </w:pPr>
            <w:r w:rsidRPr="00F11B99">
              <w:rPr>
                <w:rFonts w:ascii="Times" w:eastAsia="標楷體" w:hAnsi="Times"/>
                <w:sz w:val="20"/>
                <w:szCs w:val="20"/>
              </w:rPr>
              <w:t>會計師事務所</w:t>
            </w:r>
          </w:p>
        </w:tc>
        <w:tc>
          <w:tcPr>
            <w:tcW w:w="1914" w:type="dxa"/>
            <w:tcBorders>
              <w:top w:val="single" w:sz="4" w:space="0" w:color="auto"/>
              <w:left w:val="single" w:sz="4" w:space="0" w:color="auto"/>
              <w:bottom w:val="single" w:sz="4" w:space="0" w:color="auto"/>
              <w:right w:val="single" w:sz="4" w:space="0" w:color="auto"/>
            </w:tcBorders>
            <w:vAlign w:val="center"/>
          </w:tcPr>
          <w:p w:rsidR="00900B12" w:rsidRPr="00F11B99" w:rsidRDefault="00900B12" w:rsidP="00F11B99">
            <w:pPr>
              <w:tabs>
                <w:tab w:val="left" w:pos="2280"/>
              </w:tabs>
              <w:spacing w:after="0" w:line="240" w:lineRule="auto"/>
              <w:jc w:val="center"/>
              <w:rPr>
                <w:rFonts w:ascii="Times" w:eastAsia="標楷體" w:hAnsi="Times"/>
                <w:sz w:val="20"/>
                <w:szCs w:val="20"/>
              </w:rPr>
            </w:pPr>
            <w:r w:rsidRPr="00F11B99">
              <w:rPr>
                <w:rFonts w:ascii="Times" w:eastAsia="標楷體" w:hAnsi="Times"/>
                <w:sz w:val="20"/>
                <w:szCs w:val="20"/>
              </w:rPr>
              <w:t>查核意見</w:t>
            </w:r>
          </w:p>
        </w:tc>
      </w:tr>
      <w:tr w:rsidR="00994A22" w:rsidRPr="009F2DAB" w:rsidTr="00F11B99">
        <w:trPr>
          <w:trHeight w:val="188"/>
        </w:trPr>
        <w:tc>
          <w:tcPr>
            <w:tcW w:w="1361" w:type="dxa"/>
            <w:tcBorders>
              <w:top w:val="single" w:sz="4" w:space="0" w:color="auto"/>
              <w:left w:val="single" w:sz="4" w:space="0" w:color="auto"/>
              <w:right w:val="single" w:sz="4" w:space="0" w:color="auto"/>
            </w:tcBorders>
            <w:vAlign w:val="center"/>
          </w:tcPr>
          <w:p w:rsidR="00994A22" w:rsidRPr="00F11B99" w:rsidRDefault="0031526E" w:rsidP="00F11B99">
            <w:pPr>
              <w:autoSpaceDE w:val="0"/>
              <w:autoSpaceDN w:val="0"/>
              <w:spacing w:after="0" w:line="240" w:lineRule="auto"/>
              <w:ind w:right="-28"/>
              <w:jc w:val="center"/>
              <w:rPr>
                <w:rFonts w:ascii="Times" w:eastAsia="標楷體" w:hAnsi="Times"/>
                <w:sz w:val="20"/>
                <w:szCs w:val="20"/>
              </w:rPr>
            </w:pPr>
            <w:r>
              <w:rPr>
                <w:rFonts w:ascii="Times" w:eastAsia="標楷體" w:hAnsi="Times"/>
                <w:sz w:val="20"/>
                <w:szCs w:val="20"/>
              </w:rPr>
              <w:t>2020</w:t>
            </w:r>
          </w:p>
        </w:tc>
        <w:tc>
          <w:tcPr>
            <w:tcW w:w="4123" w:type="dxa"/>
            <w:tcBorders>
              <w:top w:val="single" w:sz="4" w:space="0" w:color="auto"/>
              <w:left w:val="single" w:sz="4" w:space="0" w:color="auto"/>
              <w:right w:val="single" w:sz="4" w:space="0" w:color="auto"/>
            </w:tcBorders>
            <w:vAlign w:val="center"/>
          </w:tcPr>
          <w:p w:rsidR="0031526E" w:rsidRPr="0031526E" w:rsidRDefault="0031526E" w:rsidP="0031526E">
            <w:pPr>
              <w:spacing w:after="0" w:line="240" w:lineRule="auto"/>
              <w:jc w:val="center"/>
              <w:rPr>
                <w:rFonts w:ascii="Times" w:eastAsia="標楷體" w:hAnsi="Times"/>
                <w:sz w:val="20"/>
                <w:szCs w:val="20"/>
              </w:rPr>
            </w:pPr>
            <w:r w:rsidRPr="0031526E">
              <w:rPr>
                <w:rFonts w:ascii="Times" w:eastAsia="標楷體" w:hAnsi="Times"/>
                <w:sz w:val="20"/>
                <w:szCs w:val="20"/>
              </w:rPr>
              <w:t>Deloitte &amp; Associés/ Mazars/</w:t>
            </w:r>
          </w:p>
          <w:p w:rsidR="00994A22" w:rsidRPr="00F11B99" w:rsidRDefault="0031526E" w:rsidP="0031526E">
            <w:pPr>
              <w:spacing w:after="0" w:line="240" w:lineRule="auto"/>
              <w:jc w:val="center"/>
              <w:rPr>
                <w:rFonts w:ascii="Times" w:eastAsia="標楷體" w:hAnsi="Times"/>
                <w:sz w:val="20"/>
                <w:szCs w:val="20"/>
              </w:rPr>
            </w:pPr>
            <w:r w:rsidRPr="0031526E">
              <w:rPr>
                <w:rFonts w:ascii="Times" w:eastAsia="標楷體" w:hAnsi="Times"/>
                <w:sz w:val="20"/>
                <w:szCs w:val="20"/>
              </w:rPr>
              <w:t>PricewaterhouseCoopers Audi</w:t>
            </w:r>
          </w:p>
        </w:tc>
        <w:tc>
          <w:tcPr>
            <w:tcW w:w="1914" w:type="dxa"/>
            <w:tcBorders>
              <w:top w:val="single" w:sz="4" w:space="0" w:color="auto"/>
              <w:left w:val="single" w:sz="4" w:space="0" w:color="auto"/>
              <w:right w:val="single" w:sz="4" w:space="0" w:color="auto"/>
            </w:tcBorders>
            <w:vAlign w:val="center"/>
          </w:tcPr>
          <w:p w:rsidR="00994A22" w:rsidRPr="00F11B99" w:rsidRDefault="009F2DAB" w:rsidP="00F11B99">
            <w:pPr>
              <w:autoSpaceDE w:val="0"/>
              <w:autoSpaceDN w:val="0"/>
              <w:spacing w:after="0" w:line="240" w:lineRule="auto"/>
              <w:ind w:right="-28" w:hanging="28"/>
              <w:jc w:val="center"/>
              <w:rPr>
                <w:rFonts w:ascii="Times" w:eastAsia="標楷體" w:hAnsi="Times"/>
                <w:sz w:val="20"/>
                <w:szCs w:val="20"/>
              </w:rPr>
            </w:pPr>
            <w:r w:rsidRPr="00F11B99">
              <w:rPr>
                <w:rFonts w:ascii="Times" w:eastAsia="標楷體" w:hAnsi="Times"/>
                <w:sz w:val="20"/>
                <w:szCs w:val="20"/>
              </w:rPr>
              <w:t>True and fair</w:t>
            </w:r>
          </w:p>
        </w:tc>
      </w:tr>
      <w:tr w:rsidR="00994A22" w:rsidRPr="009F2DAB" w:rsidTr="00F11B99">
        <w:trPr>
          <w:trHeight w:val="222"/>
        </w:trPr>
        <w:tc>
          <w:tcPr>
            <w:tcW w:w="1361" w:type="dxa"/>
            <w:tcBorders>
              <w:top w:val="single" w:sz="4" w:space="0" w:color="auto"/>
              <w:left w:val="single" w:sz="4" w:space="0" w:color="auto"/>
              <w:right w:val="single" w:sz="4" w:space="0" w:color="auto"/>
            </w:tcBorders>
            <w:vAlign w:val="center"/>
          </w:tcPr>
          <w:p w:rsidR="00994A22" w:rsidRPr="00F11B99" w:rsidRDefault="0031526E" w:rsidP="00F11B99">
            <w:pPr>
              <w:autoSpaceDE w:val="0"/>
              <w:autoSpaceDN w:val="0"/>
              <w:spacing w:after="0" w:line="240" w:lineRule="auto"/>
              <w:ind w:right="-28"/>
              <w:jc w:val="center"/>
              <w:rPr>
                <w:rFonts w:ascii="Times" w:eastAsia="標楷體" w:hAnsi="Times"/>
                <w:sz w:val="20"/>
                <w:szCs w:val="20"/>
              </w:rPr>
            </w:pPr>
            <w:r>
              <w:rPr>
                <w:rFonts w:ascii="Times" w:eastAsia="標楷體" w:hAnsi="Times"/>
                <w:sz w:val="20"/>
                <w:szCs w:val="20"/>
              </w:rPr>
              <w:t>2021</w:t>
            </w:r>
          </w:p>
        </w:tc>
        <w:tc>
          <w:tcPr>
            <w:tcW w:w="4123" w:type="dxa"/>
            <w:tcBorders>
              <w:top w:val="single" w:sz="4" w:space="0" w:color="auto"/>
              <w:left w:val="single" w:sz="4" w:space="0" w:color="auto"/>
              <w:right w:val="single" w:sz="4" w:space="0" w:color="auto"/>
            </w:tcBorders>
            <w:vAlign w:val="center"/>
          </w:tcPr>
          <w:p w:rsidR="0031526E" w:rsidRPr="0031526E" w:rsidRDefault="0031526E" w:rsidP="0031526E">
            <w:pPr>
              <w:spacing w:after="0" w:line="240" w:lineRule="auto"/>
              <w:jc w:val="center"/>
              <w:rPr>
                <w:rFonts w:ascii="Times" w:eastAsia="標楷體" w:hAnsi="Times"/>
                <w:sz w:val="20"/>
                <w:szCs w:val="20"/>
              </w:rPr>
            </w:pPr>
            <w:r w:rsidRPr="0031526E">
              <w:rPr>
                <w:rFonts w:ascii="Times" w:eastAsia="標楷體" w:hAnsi="Times"/>
                <w:sz w:val="20"/>
                <w:szCs w:val="20"/>
              </w:rPr>
              <w:t>Deloitte &amp; Associés/ Mazars/</w:t>
            </w:r>
          </w:p>
          <w:p w:rsidR="00994A22" w:rsidRPr="00F11B99" w:rsidRDefault="0031526E" w:rsidP="0031526E">
            <w:pPr>
              <w:spacing w:after="0" w:line="240" w:lineRule="auto"/>
              <w:jc w:val="center"/>
              <w:rPr>
                <w:rFonts w:ascii="Times" w:eastAsia="標楷體" w:hAnsi="Times"/>
                <w:sz w:val="20"/>
                <w:szCs w:val="20"/>
              </w:rPr>
            </w:pPr>
            <w:r w:rsidRPr="0031526E">
              <w:rPr>
                <w:rFonts w:ascii="Times" w:eastAsia="標楷體" w:hAnsi="Times"/>
                <w:sz w:val="20"/>
                <w:szCs w:val="20"/>
              </w:rPr>
              <w:t>PricewaterhouseCoopers Audi</w:t>
            </w:r>
          </w:p>
        </w:tc>
        <w:tc>
          <w:tcPr>
            <w:tcW w:w="1914" w:type="dxa"/>
            <w:tcBorders>
              <w:top w:val="single" w:sz="4" w:space="0" w:color="auto"/>
              <w:left w:val="single" w:sz="4" w:space="0" w:color="auto"/>
              <w:right w:val="single" w:sz="4" w:space="0" w:color="auto"/>
            </w:tcBorders>
            <w:vAlign w:val="center"/>
          </w:tcPr>
          <w:p w:rsidR="00994A22" w:rsidRPr="00F11B99" w:rsidRDefault="009F2DAB" w:rsidP="00F11B99">
            <w:pPr>
              <w:autoSpaceDE w:val="0"/>
              <w:autoSpaceDN w:val="0"/>
              <w:spacing w:after="0" w:line="240" w:lineRule="auto"/>
              <w:ind w:right="-28" w:hanging="28"/>
              <w:jc w:val="center"/>
              <w:rPr>
                <w:rFonts w:ascii="Times" w:eastAsia="標楷體" w:hAnsi="Times"/>
                <w:sz w:val="20"/>
                <w:szCs w:val="20"/>
              </w:rPr>
            </w:pPr>
            <w:r w:rsidRPr="00F11B99">
              <w:rPr>
                <w:rFonts w:ascii="Times" w:eastAsia="標楷體" w:hAnsi="Times"/>
                <w:sz w:val="20"/>
                <w:szCs w:val="20"/>
              </w:rPr>
              <w:t>True and fair</w:t>
            </w:r>
          </w:p>
        </w:tc>
      </w:tr>
      <w:tr w:rsidR="00994A22" w:rsidRPr="009F2DAB" w:rsidTr="00F11B99">
        <w:trPr>
          <w:trHeight w:val="57"/>
        </w:trPr>
        <w:tc>
          <w:tcPr>
            <w:tcW w:w="1361" w:type="dxa"/>
            <w:tcBorders>
              <w:top w:val="single" w:sz="4" w:space="0" w:color="auto"/>
              <w:left w:val="single" w:sz="4" w:space="0" w:color="auto"/>
              <w:right w:val="single" w:sz="4" w:space="0" w:color="auto"/>
            </w:tcBorders>
            <w:vAlign w:val="center"/>
          </w:tcPr>
          <w:p w:rsidR="00994A22" w:rsidRPr="00F11B99" w:rsidRDefault="00871056" w:rsidP="00F11B99">
            <w:pPr>
              <w:autoSpaceDE w:val="0"/>
              <w:autoSpaceDN w:val="0"/>
              <w:spacing w:after="0" w:line="240" w:lineRule="auto"/>
              <w:ind w:right="-28"/>
              <w:jc w:val="center"/>
              <w:rPr>
                <w:rFonts w:ascii="Times" w:eastAsia="標楷體" w:hAnsi="Times"/>
                <w:sz w:val="20"/>
                <w:szCs w:val="20"/>
              </w:rPr>
            </w:pPr>
            <w:r w:rsidRPr="00F11B99">
              <w:rPr>
                <w:rFonts w:ascii="Times" w:eastAsia="標楷體" w:hAnsi="Times"/>
                <w:sz w:val="20"/>
                <w:szCs w:val="20"/>
              </w:rPr>
              <w:t>20</w:t>
            </w:r>
            <w:r w:rsidR="0031526E">
              <w:rPr>
                <w:rFonts w:ascii="Times" w:eastAsia="標楷體" w:hAnsi="Times"/>
                <w:sz w:val="20"/>
                <w:szCs w:val="20"/>
              </w:rPr>
              <w:t>22</w:t>
            </w:r>
          </w:p>
        </w:tc>
        <w:tc>
          <w:tcPr>
            <w:tcW w:w="4123" w:type="dxa"/>
            <w:tcBorders>
              <w:top w:val="single" w:sz="4" w:space="0" w:color="auto"/>
              <w:left w:val="single" w:sz="4" w:space="0" w:color="auto"/>
              <w:right w:val="single" w:sz="4" w:space="0" w:color="auto"/>
            </w:tcBorders>
            <w:vAlign w:val="center"/>
          </w:tcPr>
          <w:p w:rsidR="0031526E" w:rsidRPr="0031526E" w:rsidRDefault="0031526E" w:rsidP="0031526E">
            <w:pPr>
              <w:spacing w:after="0" w:line="240" w:lineRule="auto"/>
              <w:jc w:val="center"/>
              <w:rPr>
                <w:rFonts w:ascii="Times" w:eastAsia="標楷體" w:hAnsi="Times"/>
                <w:sz w:val="20"/>
                <w:szCs w:val="20"/>
              </w:rPr>
            </w:pPr>
            <w:r w:rsidRPr="0031526E">
              <w:rPr>
                <w:rFonts w:ascii="Times" w:eastAsia="標楷體" w:hAnsi="Times"/>
                <w:sz w:val="20"/>
                <w:szCs w:val="20"/>
              </w:rPr>
              <w:t>Deloitte &amp; Associés/ Mazars/</w:t>
            </w:r>
          </w:p>
          <w:p w:rsidR="00994A22" w:rsidRPr="00F11B99" w:rsidRDefault="0031526E" w:rsidP="0031526E">
            <w:pPr>
              <w:spacing w:after="0" w:line="240" w:lineRule="auto"/>
              <w:jc w:val="center"/>
              <w:rPr>
                <w:rFonts w:ascii="Times" w:eastAsia="標楷體" w:hAnsi="Times"/>
                <w:sz w:val="20"/>
                <w:szCs w:val="20"/>
              </w:rPr>
            </w:pPr>
            <w:r w:rsidRPr="0031526E">
              <w:rPr>
                <w:rFonts w:ascii="Times" w:eastAsia="標楷體" w:hAnsi="Times"/>
                <w:sz w:val="20"/>
                <w:szCs w:val="20"/>
              </w:rPr>
              <w:t>PricewaterhouseCoopers Audi</w:t>
            </w:r>
          </w:p>
        </w:tc>
        <w:tc>
          <w:tcPr>
            <w:tcW w:w="1914" w:type="dxa"/>
            <w:tcBorders>
              <w:top w:val="single" w:sz="4" w:space="0" w:color="auto"/>
              <w:left w:val="single" w:sz="4" w:space="0" w:color="auto"/>
              <w:right w:val="single" w:sz="4" w:space="0" w:color="auto"/>
            </w:tcBorders>
            <w:vAlign w:val="center"/>
          </w:tcPr>
          <w:p w:rsidR="00994A22" w:rsidRPr="00F11B99" w:rsidRDefault="009F2DAB" w:rsidP="00F11B99">
            <w:pPr>
              <w:autoSpaceDE w:val="0"/>
              <w:autoSpaceDN w:val="0"/>
              <w:spacing w:after="0" w:line="240" w:lineRule="auto"/>
              <w:ind w:right="-28" w:hanging="28"/>
              <w:jc w:val="center"/>
              <w:rPr>
                <w:rFonts w:ascii="Times" w:eastAsia="標楷體" w:hAnsi="Times"/>
                <w:sz w:val="20"/>
                <w:szCs w:val="20"/>
              </w:rPr>
            </w:pPr>
            <w:r w:rsidRPr="00F11B99">
              <w:rPr>
                <w:rFonts w:ascii="Times" w:eastAsia="標楷體" w:hAnsi="Times"/>
                <w:sz w:val="20"/>
                <w:szCs w:val="20"/>
              </w:rPr>
              <w:t>True and fair</w:t>
            </w:r>
          </w:p>
        </w:tc>
      </w:tr>
    </w:tbl>
    <w:p w:rsidR="00483231" w:rsidRPr="009F2DAB" w:rsidRDefault="00DF0A74" w:rsidP="00F11B99">
      <w:pPr>
        <w:numPr>
          <w:ilvl w:val="0"/>
          <w:numId w:val="2"/>
        </w:numPr>
        <w:spacing w:after="0" w:line="240" w:lineRule="auto"/>
        <w:ind w:hanging="788"/>
        <w:rPr>
          <w:rFonts w:ascii="Times" w:eastAsia="標楷體" w:hAnsi="Times"/>
          <w:b/>
          <w:color w:val="auto"/>
          <w:sz w:val="22"/>
        </w:rPr>
      </w:pPr>
      <w:r>
        <w:rPr>
          <w:rFonts w:ascii="Times" w:eastAsia="標楷體" w:hAnsi="Times"/>
          <w:b/>
          <w:color w:val="auto"/>
          <w:sz w:val="22"/>
        </w:rPr>
        <w:t>投資人</w:t>
      </w:r>
      <w:r w:rsidR="00BE45FD" w:rsidRPr="009F2DAB">
        <w:rPr>
          <w:rFonts w:ascii="Times" w:eastAsia="標楷體" w:hAnsi="Times"/>
          <w:b/>
          <w:color w:val="auto"/>
          <w:sz w:val="22"/>
        </w:rPr>
        <w:t>應詳閱本</w:t>
      </w:r>
      <w:r w:rsidR="00AB44AB" w:rsidRPr="009F2DAB">
        <w:rPr>
          <w:rFonts w:ascii="Times" w:eastAsia="標楷體" w:hAnsi="Times"/>
          <w:b/>
          <w:color w:val="auto"/>
          <w:sz w:val="22"/>
        </w:rPr>
        <w:t>債</w:t>
      </w:r>
      <w:r w:rsidR="00BE45FD" w:rsidRPr="009F2DAB">
        <w:rPr>
          <w:rFonts w:ascii="Times" w:eastAsia="標楷體" w:hAnsi="Times"/>
          <w:b/>
          <w:color w:val="auto"/>
          <w:sz w:val="22"/>
        </w:rPr>
        <w:t>券</w:t>
      </w:r>
      <w:r w:rsidR="00AB44AB" w:rsidRPr="009F2DAB">
        <w:rPr>
          <w:rFonts w:ascii="Times" w:eastAsia="標楷體" w:hAnsi="Times"/>
          <w:b/>
          <w:color w:val="auto"/>
          <w:sz w:val="22"/>
        </w:rPr>
        <w:t>公開說明書。</w:t>
      </w:r>
    </w:p>
    <w:p w:rsidR="00BB1D8E" w:rsidRPr="009F2DAB" w:rsidRDefault="00AB44AB" w:rsidP="00F11B99">
      <w:pPr>
        <w:numPr>
          <w:ilvl w:val="0"/>
          <w:numId w:val="2"/>
        </w:numPr>
        <w:spacing w:after="0" w:line="240" w:lineRule="auto"/>
        <w:ind w:hanging="788"/>
        <w:rPr>
          <w:rFonts w:ascii="Times" w:eastAsia="標楷體" w:hAnsi="Times"/>
          <w:sz w:val="22"/>
        </w:rPr>
      </w:pPr>
      <w:r w:rsidRPr="009F2DAB">
        <w:rPr>
          <w:rFonts w:ascii="Times" w:eastAsia="標楷體" w:hAnsi="Times"/>
          <w:sz w:val="22"/>
        </w:rPr>
        <w:t>其他為保護公益及投資人應補充揭露事項：無。</w:t>
      </w:r>
    </w:p>
    <w:sectPr w:rsidR="00BB1D8E" w:rsidRPr="009F2DAB" w:rsidSect="009F2DAB">
      <w:pgSz w:w="11904"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3E" w:rsidRDefault="00CA393E" w:rsidP="0061686B">
      <w:pPr>
        <w:spacing w:after="0" w:line="240" w:lineRule="auto"/>
      </w:pPr>
      <w:r>
        <w:separator/>
      </w:r>
    </w:p>
  </w:endnote>
  <w:endnote w:type="continuationSeparator" w:id="0">
    <w:p w:rsidR="00CA393E" w:rsidRDefault="00CA393E" w:rsidP="0061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3E" w:rsidRDefault="00CA393E" w:rsidP="0061686B">
      <w:pPr>
        <w:spacing w:after="0" w:line="240" w:lineRule="auto"/>
      </w:pPr>
      <w:r>
        <w:separator/>
      </w:r>
    </w:p>
  </w:footnote>
  <w:footnote w:type="continuationSeparator" w:id="0">
    <w:p w:rsidR="00CA393E" w:rsidRDefault="00CA393E" w:rsidP="006168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24E9"/>
    <w:multiLevelType w:val="hybridMultilevel"/>
    <w:tmpl w:val="4D343D46"/>
    <w:lvl w:ilvl="0" w:tplc="6B8C3AFC">
      <w:start w:val="1"/>
      <w:numFmt w:val="ideographDigital"/>
      <w:lvlText w:val="(%1)"/>
      <w:lvlJc w:val="left"/>
      <w:pPr>
        <w:ind w:left="480" w:hanging="480"/>
      </w:pPr>
      <w:rPr>
        <w:rFonts w:ascii="標楷體" w:eastAsia="標楷體" w:hAnsi="標楷體"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A26848"/>
    <w:multiLevelType w:val="hybridMultilevel"/>
    <w:tmpl w:val="5A6E8682"/>
    <w:lvl w:ilvl="0" w:tplc="D136B858">
      <w:start w:val="10"/>
      <w:numFmt w:val="japaneseCounting"/>
      <w:lvlText w:val="%1、"/>
      <w:lvlJc w:val="left"/>
      <w:pPr>
        <w:ind w:left="788"/>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0DC25146">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7E285ACA">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05E43D0">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91A532C">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139A3FA2">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89EA4E22">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CF28E580">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E19E14E6">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D8053C"/>
    <w:multiLevelType w:val="hybridMultilevel"/>
    <w:tmpl w:val="0D9EB0DC"/>
    <w:lvl w:ilvl="0" w:tplc="5B66ADDE">
      <w:start w:val="1"/>
      <w:numFmt w:val="ideographDigital"/>
      <w:lvlText w:val="%1、"/>
      <w:lvlJc w:val="left"/>
      <w:pPr>
        <w:ind w:left="480"/>
      </w:pPr>
      <w:rPr>
        <w:rFonts w:ascii="標楷體" w:eastAsia="標楷體" w:hAnsi="標楷體" w:cs="Arial"/>
        <w:b w:val="0"/>
        <w:i w:val="0"/>
        <w:strike w:val="0"/>
        <w:dstrike w:val="0"/>
        <w:color w:val="000000"/>
        <w:sz w:val="24"/>
        <w:szCs w:val="24"/>
        <w:u w:val="none" w:color="000000"/>
        <w:bdr w:val="none" w:sz="0" w:space="0" w:color="auto"/>
        <w:shd w:val="clear" w:color="auto" w:fill="auto"/>
        <w:vertAlign w:val="baseline"/>
        <w:lang w:val="en-US"/>
      </w:rPr>
    </w:lvl>
    <w:lvl w:ilvl="1" w:tplc="250ED42C">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E8DC36">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F8B950">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4CBE0">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4CD492">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7C4644">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22346">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C4C9B2">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8D53FD"/>
    <w:multiLevelType w:val="hybridMultilevel"/>
    <w:tmpl w:val="C6A406E4"/>
    <w:lvl w:ilvl="0" w:tplc="6B8C3AFC">
      <w:start w:val="1"/>
      <w:numFmt w:val="ideographDigital"/>
      <w:lvlText w:val="(%1)"/>
      <w:lvlJc w:val="left"/>
      <w:pPr>
        <w:ind w:left="480" w:hanging="480"/>
      </w:pPr>
      <w:rPr>
        <w:rFonts w:ascii="標楷體" w:eastAsia="標楷體" w:hAnsi="標楷體"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7B6445"/>
    <w:multiLevelType w:val="hybridMultilevel"/>
    <w:tmpl w:val="AAD40A7A"/>
    <w:lvl w:ilvl="0" w:tplc="6B8C3AFC">
      <w:start w:val="1"/>
      <w:numFmt w:val="ideographDigital"/>
      <w:lvlText w:val="(%1)"/>
      <w:lvlJc w:val="left"/>
      <w:pPr>
        <w:ind w:left="960" w:hanging="480"/>
      </w:pPr>
      <w:rPr>
        <w:rFonts w:ascii="標楷體" w:eastAsia="標楷體" w:hAnsi="標楷體"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E673ECF"/>
    <w:multiLevelType w:val="hybridMultilevel"/>
    <w:tmpl w:val="AAD40A7A"/>
    <w:lvl w:ilvl="0" w:tplc="6B8C3AFC">
      <w:start w:val="1"/>
      <w:numFmt w:val="ideographDigital"/>
      <w:lvlText w:val="(%1)"/>
      <w:lvlJc w:val="left"/>
      <w:pPr>
        <w:ind w:left="960" w:hanging="480"/>
      </w:pPr>
      <w:rPr>
        <w:rFonts w:ascii="標楷體" w:eastAsia="標楷體" w:hAnsi="標楷體"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3458BF"/>
    <w:multiLevelType w:val="hybridMultilevel"/>
    <w:tmpl w:val="2392E2AE"/>
    <w:lvl w:ilvl="0" w:tplc="EADC7D08">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ED49AB"/>
    <w:multiLevelType w:val="hybridMultilevel"/>
    <w:tmpl w:val="91C82E02"/>
    <w:lvl w:ilvl="0" w:tplc="6B8C3AFC">
      <w:start w:val="1"/>
      <w:numFmt w:val="ideographDigital"/>
      <w:lvlText w:val="(%1)"/>
      <w:lvlJc w:val="left"/>
      <w:pPr>
        <w:ind w:left="480" w:hanging="480"/>
      </w:pPr>
      <w:rPr>
        <w:rFonts w:ascii="標楷體" w:eastAsia="標楷體" w:hAnsi="標楷體"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ideographTraditional"/>
      <w:lvlText w:val="%2、"/>
      <w:lvlJc w:val="left"/>
      <w:pPr>
        <w:ind w:left="960" w:hanging="480"/>
      </w:pPr>
    </w:lvl>
    <w:lvl w:ilvl="2" w:tplc="62EAFED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D475997"/>
    <w:multiLevelType w:val="hybridMultilevel"/>
    <w:tmpl w:val="5A7256C6"/>
    <w:lvl w:ilvl="0" w:tplc="C0202252">
      <w:start w:val="1"/>
      <w:numFmt w:val="taiwaneseCountingThousand"/>
      <w:lvlText w:val="(%1)"/>
      <w:lvlJc w:val="left"/>
      <w:pPr>
        <w:ind w:left="1048" w:hanging="480"/>
      </w:pPr>
      <w:rPr>
        <w:rFonts w:ascii="標楷體" w:eastAsia="標楷體" w:hAnsi="標楷體" w:cs="Times New Roman" w:hint="eastAsia"/>
        <w:b w:val="0"/>
        <w:i w:val="0"/>
        <w:strike w:val="0"/>
        <w:dstrike w:val="0"/>
        <w:color w:val="000000"/>
        <w:sz w:val="22"/>
        <w:szCs w:val="22"/>
        <w:u w:val="none" w:color="000000"/>
        <w:vertAlign w:val="baseline"/>
      </w:rPr>
    </w:lvl>
    <w:lvl w:ilvl="1" w:tplc="04090019" w:tentative="1">
      <w:start w:val="1"/>
      <w:numFmt w:val="ideographTraditional"/>
      <w:lvlText w:val="%2、"/>
      <w:lvlJc w:val="left"/>
      <w:pPr>
        <w:ind w:left="570" w:hanging="480"/>
      </w:pPr>
    </w:lvl>
    <w:lvl w:ilvl="2" w:tplc="0409001B" w:tentative="1">
      <w:start w:val="1"/>
      <w:numFmt w:val="lowerRoman"/>
      <w:lvlText w:val="%3."/>
      <w:lvlJc w:val="right"/>
      <w:pPr>
        <w:ind w:left="1050" w:hanging="480"/>
      </w:pPr>
    </w:lvl>
    <w:lvl w:ilvl="3" w:tplc="0409000F" w:tentative="1">
      <w:start w:val="1"/>
      <w:numFmt w:val="decimal"/>
      <w:lvlText w:val="%4."/>
      <w:lvlJc w:val="left"/>
      <w:pPr>
        <w:ind w:left="1530" w:hanging="480"/>
      </w:pPr>
    </w:lvl>
    <w:lvl w:ilvl="4" w:tplc="04090019" w:tentative="1">
      <w:start w:val="1"/>
      <w:numFmt w:val="ideographTraditional"/>
      <w:lvlText w:val="%5、"/>
      <w:lvlJc w:val="left"/>
      <w:pPr>
        <w:ind w:left="2010" w:hanging="480"/>
      </w:pPr>
    </w:lvl>
    <w:lvl w:ilvl="5" w:tplc="0409001B" w:tentative="1">
      <w:start w:val="1"/>
      <w:numFmt w:val="lowerRoman"/>
      <w:lvlText w:val="%6."/>
      <w:lvlJc w:val="right"/>
      <w:pPr>
        <w:ind w:left="2490" w:hanging="480"/>
      </w:pPr>
    </w:lvl>
    <w:lvl w:ilvl="6" w:tplc="0409000F" w:tentative="1">
      <w:start w:val="1"/>
      <w:numFmt w:val="decimal"/>
      <w:lvlText w:val="%7."/>
      <w:lvlJc w:val="left"/>
      <w:pPr>
        <w:ind w:left="2970" w:hanging="480"/>
      </w:pPr>
    </w:lvl>
    <w:lvl w:ilvl="7" w:tplc="04090019" w:tentative="1">
      <w:start w:val="1"/>
      <w:numFmt w:val="ideographTraditional"/>
      <w:lvlText w:val="%8、"/>
      <w:lvlJc w:val="left"/>
      <w:pPr>
        <w:ind w:left="3450" w:hanging="480"/>
      </w:pPr>
    </w:lvl>
    <w:lvl w:ilvl="8" w:tplc="0409001B" w:tentative="1">
      <w:start w:val="1"/>
      <w:numFmt w:val="lowerRoman"/>
      <w:lvlText w:val="%9."/>
      <w:lvlJc w:val="right"/>
      <w:pPr>
        <w:ind w:left="3930" w:hanging="480"/>
      </w:pPr>
    </w:lvl>
  </w:abstractNum>
  <w:num w:numId="1">
    <w:abstractNumId w:val="2"/>
  </w:num>
  <w:num w:numId="2">
    <w:abstractNumId w:val="1"/>
  </w:num>
  <w:num w:numId="3">
    <w:abstractNumId w:val="7"/>
  </w:num>
  <w:num w:numId="4">
    <w:abstractNumId w:val="3"/>
  </w:num>
  <w:num w:numId="5">
    <w:abstractNumId w:val="0"/>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50"/>
  <w:characterSpacingControl w:val="doNotCompress"/>
  <w:hdrShapeDefaults>
    <o:shapedefaults v:ext="edit" spidmax="134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E"/>
    <w:rsid w:val="00000835"/>
    <w:rsid w:val="00017FBC"/>
    <w:rsid w:val="00030CF6"/>
    <w:rsid w:val="00045E63"/>
    <w:rsid w:val="0005162F"/>
    <w:rsid w:val="00054234"/>
    <w:rsid w:val="0006434A"/>
    <w:rsid w:val="000740DB"/>
    <w:rsid w:val="00086DE3"/>
    <w:rsid w:val="000978DD"/>
    <w:rsid w:val="00097DF8"/>
    <w:rsid w:val="000A33EE"/>
    <w:rsid w:val="000A58B6"/>
    <w:rsid w:val="000F3864"/>
    <w:rsid w:val="00125F17"/>
    <w:rsid w:val="001530B3"/>
    <w:rsid w:val="001611E1"/>
    <w:rsid w:val="0016438C"/>
    <w:rsid w:val="0017137F"/>
    <w:rsid w:val="001B78DF"/>
    <w:rsid w:val="001E7541"/>
    <w:rsid w:val="001F3E52"/>
    <w:rsid w:val="001F57BD"/>
    <w:rsid w:val="0020080C"/>
    <w:rsid w:val="00213637"/>
    <w:rsid w:val="0022583D"/>
    <w:rsid w:val="002369AD"/>
    <w:rsid w:val="00247A03"/>
    <w:rsid w:val="00266F16"/>
    <w:rsid w:val="002A2E77"/>
    <w:rsid w:val="002F026A"/>
    <w:rsid w:val="0030249A"/>
    <w:rsid w:val="0030725C"/>
    <w:rsid w:val="0031526E"/>
    <w:rsid w:val="003210FD"/>
    <w:rsid w:val="00321F53"/>
    <w:rsid w:val="00324C08"/>
    <w:rsid w:val="003305E5"/>
    <w:rsid w:val="003413D8"/>
    <w:rsid w:val="00352E7C"/>
    <w:rsid w:val="00361836"/>
    <w:rsid w:val="003859ED"/>
    <w:rsid w:val="00385A9A"/>
    <w:rsid w:val="003B064D"/>
    <w:rsid w:val="003F03F9"/>
    <w:rsid w:val="00401AE9"/>
    <w:rsid w:val="00415A75"/>
    <w:rsid w:val="00415FAC"/>
    <w:rsid w:val="00417018"/>
    <w:rsid w:val="00425CC5"/>
    <w:rsid w:val="00436655"/>
    <w:rsid w:val="00483231"/>
    <w:rsid w:val="0048745D"/>
    <w:rsid w:val="004B1A1E"/>
    <w:rsid w:val="004C33BE"/>
    <w:rsid w:val="004E1F31"/>
    <w:rsid w:val="005002F9"/>
    <w:rsid w:val="005055D1"/>
    <w:rsid w:val="0054564C"/>
    <w:rsid w:val="00553F77"/>
    <w:rsid w:val="00555EF6"/>
    <w:rsid w:val="005566AD"/>
    <w:rsid w:val="0056626E"/>
    <w:rsid w:val="00566E34"/>
    <w:rsid w:val="0058261E"/>
    <w:rsid w:val="005B48CB"/>
    <w:rsid w:val="005B4AD4"/>
    <w:rsid w:val="005B6A0B"/>
    <w:rsid w:val="005C51E1"/>
    <w:rsid w:val="005F774A"/>
    <w:rsid w:val="006009FB"/>
    <w:rsid w:val="00602DF1"/>
    <w:rsid w:val="00603494"/>
    <w:rsid w:val="0061686B"/>
    <w:rsid w:val="006229F9"/>
    <w:rsid w:val="00634B28"/>
    <w:rsid w:val="0068710F"/>
    <w:rsid w:val="006C3321"/>
    <w:rsid w:val="0071190D"/>
    <w:rsid w:val="00723204"/>
    <w:rsid w:val="0075178A"/>
    <w:rsid w:val="00764F3F"/>
    <w:rsid w:val="00766B6F"/>
    <w:rsid w:val="00781C6E"/>
    <w:rsid w:val="007C745E"/>
    <w:rsid w:val="007E59DF"/>
    <w:rsid w:val="00800D1A"/>
    <w:rsid w:val="00801BD4"/>
    <w:rsid w:val="0081223E"/>
    <w:rsid w:val="0084156E"/>
    <w:rsid w:val="00847658"/>
    <w:rsid w:val="008651DE"/>
    <w:rsid w:val="00871056"/>
    <w:rsid w:val="00896A6F"/>
    <w:rsid w:val="008B3B86"/>
    <w:rsid w:val="008C12E1"/>
    <w:rsid w:val="008E7EB1"/>
    <w:rsid w:val="008F44B4"/>
    <w:rsid w:val="00900B12"/>
    <w:rsid w:val="0090142F"/>
    <w:rsid w:val="00965C48"/>
    <w:rsid w:val="009746BE"/>
    <w:rsid w:val="00974AD5"/>
    <w:rsid w:val="00985BC5"/>
    <w:rsid w:val="009877E8"/>
    <w:rsid w:val="00987C3B"/>
    <w:rsid w:val="00994A22"/>
    <w:rsid w:val="009C7D27"/>
    <w:rsid w:val="009D4FA8"/>
    <w:rsid w:val="009F2DAB"/>
    <w:rsid w:val="009F3DD7"/>
    <w:rsid w:val="009F4474"/>
    <w:rsid w:val="00A10197"/>
    <w:rsid w:val="00A17F94"/>
    <w:rsid w:val="00A30C24"/>
    <w:rsid w:val="00A80794"/>
    <w:rsid w:val="00A84BF2"/>
    <w:rsid w:val="00A958A8"/>
    <w:rsid w:val="00AB3FC8"/>
    <w:rsid w:val="00AB44AB"/>
    <w:rsid w:val="00B0488C"/>
    <w:rsid w:val="00B0763A"/>
    <w:rsid w:val="00B43F99"/>
    <w:rsid w:val="00B55925"/>
    <w:rsid w:val="00B73084"/>
    <w:rsid w:val="00B75AEC"/>
    <w:rsid w:val="00B94D2C"/>
    <w:rsid w:val="00BA2021"/>
    <w:rsid w:val="00BA6454"/>
    <w:rsid w:val="00BB1D8E"/>
    <w:rsid w:val="00BD3074"/>
    <w:rsid w:val="00BD3800"/>
    <w:rsid w:val="00BE22C9"/>
    <w:rsid w:val="00BE381A"/>
    <w:rsid w:val="00BE45FD"/>
    <w:rsid w:val="00BE5481"/>
    <w:rsid w:val="00BF4AA1"/>
    <w:rsid w:val="00C03B7D"/>
    <w:rsid w:val="00C31112"/>
    <w:rsid w:val="00C43807"/>
    <w:rsid w:val="00C47EB8"/>
    <w:rsid w:val="00C56705"/>
    <w:rsid w:val="00C72160"/>
    <w:rsid w:val="00C80F94"/>
    <w:rsid w:val="00C83D4F"/>
    <w:rsid w:val="00CA393E"/>
    <w:rsid w:val="00CC3FED"/>
    <w:rsid w:val="00CC49A5"/>
    <w:rsid w:val="00CC667B"/>
    <w:rsid w:val="00CD50C0"/>
    <w:rsid w:val="00CE428F"/>
    <w:rsid w:val="00CE77AA"/>
    <w:rsid w:val="00CF3C3D"/>
    <w:rsid w:val="00D0375F"/>
    <w:rsid w:val="00D3434D"/>
    <w:rsid w:val="00D4045C"/>
    <w:rsid w:val="00D40E87"/>
    <w:rsid w:val="00D62EEE"/>
    <w:rsid w:val="00D72D9A"/>
    <w:rsid w:val="00D83B94"/>
    <w:rsid w:val="00D879E5"/>
    <w:rsid w:val="00D90C7C"/>
    <w:rsid w:val="00DD47CD"/>
    <w:rsid w:val="00DF0A74"/>
    <w:rsid w:val="00E76301"/>
    <w:rsid w:val="00E86973"/>
    <w:rsid w:val="00E93493"/>
    <w:rsid w:val="00E95717"/>
    <w:rsid w:val="00F11B99"/>
    <w:rsid w:val="00F37140"/>
    <w:rsid w:val="00F4729D"/>
    <w:rsid w:val="00F51A20"/>
    <w:rsid w:val="00F57518"/>
    <w:rsid w:val="00F720FA"/>
    <w:rsid w:val="00F735F0"/>
    <w:rsid w:val="00F81890"/>
    <w:rsid w:val="00F868DB"/>
    <w:rsid w:val="00F9600A"/>
    <w:rsid w:val="00FB4537"/>
    <w:rsid w:val="00FB5D71"/>
    <w:rsid w:val="00FC2A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5:docId w15:val="{2302BEB8-CB44-4390-ACB7-FD251A49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6" w:line="259" w:lineRule="auto"/>
      <w:ind w:left="10" w:hanging="10"/>
    </w:pPr>
    <w:rPr>
      <w:rFonts w:ascii="微軟正黑體" w:eastAsia="微軟正黑體" w:hAnsi="微軟正黑體" w:cs="微軟正黑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C31112"/>
    <w:pPr>
      <w:ind w:leftChars="200" w:left="480"/>
    </w:pPr>
  </w:style>
  <w:style w:type="character" w:styleId="a4">
    <w:name w:val="Hyperlink"/>
    <w:basedOn w:val="a0"/>
    <w:uiPriority w:val="99"/>
    <w:unhideWhenUsed/>
    <w:rsid w:val="00C31112"/>
    <w:rPr>
      <w:color w:val="0563C1" w:themeColor="hyperlink"/>
      <w:u w:val="single"/>
    </w:rPr>
  </w:style>
  <w:style w:type="paragraph" w:styleId="a5">
    <w:name w:val="header"/>
    <w:basedOn w:val="a"/>
    <w:link w:val="a6"/>
    <w:uiPriority w:val="99"/>
    <w:unhideWhenUsed/>
    <w:rsid w:val="0061686B"/>
    <w:pPr>
      <w:tabs>
        <w:tab w:val="center" w:pos="4153"/>
        <w:tab w:val="right" w:pos="8306"/>
      </w:tabs>
      <w:snapToGrid w:val="0"/>
    </w:pPr>
    <w:rPr>
      <w:sz w:val="20"/>
      <w:szCs w:val="20"/>
    </w:rPr>
  </w:style>
  <w:style w:type="character" w:customStyle="1" w:styleId="a6">
    <w:name w:val="頁首 字元"/>
    <w:basedOn w:val="a0"/>
    <w:link w:val="a5"/>
    <w:uiPriority w:val="99"/>
    <w:rsid w:val="0061686B"/>
    <w:rPr>
      <w:rFonts w:ascii="微軟正黑體" w:eastAsia="微軟正黑體" w:hAnsi="微軟正黑體" w:cs="微軟正黑體"/>
      <w:color w:val="000000"/>
      <w:sz w:val="20"/>
      <w:szCs w:val="20"/>
    </w:rPr>
  </w:style>
  <w:style w:type="paragraph" w:styleId="a7">
    <w:name w:val="footer"/>
    <w:basedOn w:val="a"/>
    <w:link w:val="a8"/>
    <w:uiPriority w:val="99"/>
    <w:unhideWhenUsed/>
    <w:rsid w:val="0061686B"/>
    <w:pPr>
      <w:tabs>
        <w:tab w:val="center" w:pos="4153"/>
        <w:tab w:val="right" w:pos="8306"/>
      </w:tabs>
      <w:snapToGrid w:val="0"/>
    </w:pPr>
    <w:rPr>
      <w:sz w:val="20"/>
      <w:szCs w:val="20"/>
    </w:rPr>
  </w:style>
  <w:style w:type="character" w:customStyle="1" w:styleId="a8">
    <w:name w:val="頁尾 字元"/>
    <w:basedOn w:val="a0"/>
    <w:link w:val="a7"/>
    <w:uiPriority w:val="99"/>
    <w:rsid w:val="0061686B"/>
    <w:rPr>
      <w:rFonts w:ascii="微軟正黑體" w:eastAsia="微軟正黑體" w:hAnsi="微軟正黑體" w:cs="微軟正黑體"/>
      <w:color w:val="000000"/>
      <w:sz w:val="20"/>
      <w:szCs w:val="20"/>
    </w:rPr>
  </w:style>
  <w:style w:type="table" w:styleId="a9">
    <w:name w:val="Table Grid"/>
    <w:basedOn w:val="a1"/>
    <w:uiPriority w:val="39"/>
    <w:rsid w:val="00F96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4A22"/>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ops.tse.com.tw/" TargetMode="External"/><Relationship Id="rId3" Type="http://schemas.openxmlformats.org/officeDocument/2006/relationships/settings" Target="settings.xml"/><Relationship Id="rId7" Type="http://schemas.openxmlformats.org/officeDocument/2006/relationships/hyperlink" Target="http://mops.tse.com.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aishinbank.com.tw" TargetMode="External"/><Relationship Id="rId4" Type="http://schemas.openxmlformats.org/officeDocument/2006/relationships/webSettings" Target="webSettings.xml"/><Relationship Id="rId9" Type="http://schemas.openxmlformats.org/officeDocument/2006/relationships/hyperlink" Target="http://mops.tse.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李宜恩</dc:creator>
  <cp:lastModifiedBy>王怡雯(金融市場事業總處)</cp:lastModifiedBy>
  <cp:revision>12</cp:revision>
  <cp:lastPrinted>2018-04-18T03:15:00Z</cp:lastPrinted>
  <dcterms:created xsi:type="dcterms:W3CDTF">2021-05-05T06:08:00Z</dcterms:created>
  <dcterms:modified xsi:type="dcterms:W3CDTF">2023-05-23T02:13:00Z</dcterms:modified>
</cp:coreProperties>
</file>